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E7896" w14:textId="77777777" w:rsidR="00B25A82" w:rsidRDefault="00B25A82" w:rsidP="004215F5">
      <w:pPr>
        <w:jc w:val="center"/>
        <w:rPr>
          <w:rFonts w:ascii="Arial" w:hAnsi="Arial" w:cs="Arial"/>
          <w:b/>
          <w:bCs/>
        </w:rPr>
      </w:pPr>
    </w:p>
    <w:p w14:paraId="25D4217F" w14:textId="77777777" w:rsidR="00B25A82" w:rsidRPr="00B25A82" w:rsidRDefault="00B25A82" w:rsidP="00B25A82">
      <w:pPr>
        <w:jc w:val="both"/>
        <w:rPr>
          <w:rFonts w:ascii="Arial" w:hAnsi="Arial" w:cs="Arial"/>
        </w:rPr>
      </w:pPr>
      <w:r w:rsidRPr="00B25A82">
        <w:rPr>
          <w:rFonts w:ascii="Arial" w:hAnsi="Arial" w:cs="Arial"/>
        </w:rPr>
        <w:t>LA LEY DE INGRESOS DEL ESTADO LIBRE Y SOBERANO DE HIDALGO PARA EL EJERCICIO FISCAL DEL AÑO 2025.</w:t>
      </w:r>
    </w:p>
    <w:p w14:paraId="11C9B040" w14:textId="77777777" w:rsidR="00B25A82" w:rsidRPr="00AE4590" w:rsidRDefault="00B25A82" w:rsidP="00B25A82">
      <w:pPr>
        <w:contextualSpacing/>
        <w:jc w:val="both"/>
        <w:rPr>
          <w:rFonts w:ascii="Arial" w:hAnsi="Arial" w:cs="Arial"/>
          <w:i/>
        </w:rPr>
      </w:pPr>
    </w:p>
    <w:p w14:paraId="017B5541" w14:textId="258817DE" w:rsidR="00B25A82" w:rsidRPr="00AE4590" w:rsidRDefault="00B25A82" w:rsidP="00B25A82">
      <w:pPr>
        <w:contextualSpacing/>
        <w:jc w:val="both"/>
        <w:rPr>
          <w:rFonts w:ascii="Arial" w:hAnsi="Arial" w:cs="Arial"/>
          <w:i/>
        </w:rPr>
      </w:pPr>
      <w:r w:rsidRPr="00AE4590">
        <w:rPr>
          <w:rFonts w:ascii="Arial" w:hAnsi="Arial" w:cs="Arial"/>
          <w:i/>
        </w:rPr>
        <w:t xml:space="preserve">Ley Publicada en el Periódico Oficial, </w:t>
      </w:r>
      <w:r w:rsidR="00E30C06">
        <w:rPr>
          <w:rFonts w:ascii="Arial" w:hAnsi="Arial" w:cs="Arial"/>
          <w:i/>
        </w:rPr>
        <w:t>a</w:t>
      </w:r>
      <w:r w:rsidRPr="00AE4590">
        <w:rPr>
          <w:rFonts w:ascii="Arial" w:hAnsi="Arial" w:cs="Arial"/>
          <w:i/>
        </w:rPr>
        <w:t xml:space="preserve">lcance </w:t>
      </w:r>
      <w:r>
        <w:rPr>
          <w:rFonts w:ascii="Arial" w:hAnsi="Arial" w:cs="Arial"/>
          <w:i/>
        </w:rPr>
        <w:t>uno</w:t>
      </w:r>
      <w:r w:rsidRPr="00AE4590">
        <w:rPr>
          <w:rFonts w:ascii="Arial" w:hAnsi="Arial" w:cs="Arial"/>
          <w:i/>
        </w:rPr>
        <w:t xml:space="preserve"> del </w:t>
      </w:r>
      <w:r>
        <w:rPr>
          <w:rFonts w:ascii="Arial" w:hAnsi="Arial" w:cs="Arial"/>
          <w:i/>
        </w:rPr>
        <w:t>31</w:t>
      </w:r>
      <w:r w:rsidRPr="00AE4590">
        <w:rPr>
          <w:rFonts w:ascii="Arial" w:hAnsi="Arial" w:cs="Arial"/>
          <w:i/>
        </w:rPr>
        <w:t xml:space="preserve"> de diciembre de 202</w:t>
      </w:r>
      <w:r>
        <w:rPr>
          <w:rFonts w:ascii="Arial" w:hAnsi="Arial" w:cs="Arial"/>
          <w:i/>
        </w:rPr>
        <w:t>4</w:t>
      </w:r>
      <w:r w:rsidRPr="00AE4590">
        <w:rPr>
          <w:rFonts w:ascii="Arial" w:hAnsi="Arial" w:cs="Arial"/>
          <w:i/>
        </w:rPr>
        <w:t>.</w:t>
      </w:r>
    </w:p>
    <w:p w14:paraId="73825575" w14:textId="77777777" w:rsidR="00B25A82" w:rsidRDefault="00B25A82" w:rsidP="00B25A82">
      <w:pPr>
        <w:jc w:val="center"/>
        <w:rPr>
          <w:rFonts w:ascii="Arial" w:hAnsi="Arial" w:cs="Arial"/>
          <w:b/>
          <w:bCs/>
          <w:sz w:val="23"/>
          <w:szCs w:val="23"/>
          <w:shd w:val="clear" w:color="auto" w:fill="FFFFFF"/>
        </w:rPr>
      </w:pPr>
    </w:p>
    <w:p w14:paraId="02ACEB34" w14:textId="77777777" w:rsidR="00B25A82" w:rsidRDefault="00B25A82" w:rsidP="004215F5">
      <w:pPr>
        <w:jc w:val="center"/>
        <w:rPr>
          <w:rFonts w:ascii="Arial" w:hAnsi="Arial" w:cs="Arial"/>
          <w:b/>
          <w:bCs/>
        </w:rPr>
      </w:pPr>
    </w:p>
    <w:p w14:paraId="6C71A292" w14:textId="0914EBF6" w:rsidR="007053A9" w:rsidRPr="004215F5" w:rsidRDefault="004215F5" w:rsidP="004215F5">
      <w:pPr>
        <w:jc w:val="center"/>
        <w:rPr>
          <w:rFonts w:ascii="Arial" w:hAnsi="Arial" w:cs="Arial"/>
          <w:b/>
          <w:bCs/>
        </w:rPr>
      </w:pPr>
      <w:r w:rsidRPr="004215F5">
        <w:rPr>
          <w:rFonts w:ascii="Arial" w:hAnsi="Arial" w:cs="Arial"/>
          <w:b/>
          <w:bCs/>
        </w:rPr>
        <w:t>GOBIERNO DEL ESTADO DE HIDALGO</w:t>
      </w:r>
    </w:p>
    <w:p w14:paraId="16AC5BF0" w14:textId="4B2558C1" w:rsidR="004215F5" w:rsidRDefault="004215F5" w:rsidP="004215F5">
      <w:pPr>
        <w:jc w:val="center"/>
        <w:rPr>
          <w:rFonts w:ascii="Arial" w:hAnsi="Arial" w:cs="Arial"/>
          <w:b/>
          <w:bCs/>
        </w:rPr>
      </w:pPr>
      <w:r w:rsidRPr="004215F5">
        <w:rPr>
          <w:rFonts w:ascii="Arial" w:hAnsi="Arial" w:cs="Arial"/>
          <w:b/>
          <w:bCs/>
        </w:rPr>
        <w:t>PODER EJECUTIVO</w:t>
      </w:r>
    </w:p>
    <w:p w14:paraId="667E8FF7" w14:textId="77777777" w:rsidR="004215F5" w:rsidRDefault="004215F5" w:rsidP="004215F5">
      <w:pPr>
        <w:jc w:val="center"/>
        <w:rPr>
          <w:rFonts w:ascii="Arial" w:hAnsi="Arial" w:cs="Arial"/>
          <w:b/>
          <w:bCs/>
        </w:rPr>
      </w:pPr>
    </w:p>
    <w:p w14:paraId="01F009D0" w14:textId="4DD336C8" w:rsidR="004215F5" w:rsidRDefault="004215F5" w:rsidP="004215F5">
      <w:pPr>
        <w:jc w:val="both"/>
        <w:rPr>
          <w:rFonts w:ascii="Arial" w:hAnsi="Arial" w:cs="Arial"/>
          <w:b/>
          <w:bCs/>
        </w:rPr>
      </w:pPr>
      <w:r>
        <w:rPr>
          <w:rFonts w:ascii="Arial" w:hAnsi="Arial" w:cs="Arial"/>
          <w:b/>
          <w:bCs/>
        </w:rPr>
        <w:t>LIC. JULIO RAMÓN MENCHACA SALAZAR, GOBERNADOR CONSTITUCIONAL DEL ESTADO LIBRE Y SOBERANO DE HIDALGO, A SUS HABITANTES SABED:</w:t>
      </w:r>
    </w:p>
    <w:p w14:paraId="28654B9F" w14:textId="77777777" w:rsidR="004215F5" w:rsidRDefault="004215F5" w:rsidP="004215F5">
      <w:pPr>
        <w:jc w:val="both"/>
        <w:rPr>
          <w:rFonts w:ascii="Arial" w:hAnsi="Arial" w:cs="Arial"/>
          <w:b/>
          <w:bCs/>
        </w:rPr>
      </w:pPr>
    </w:p>
    <w:p w14:paraId="5B20433E" w14:textId="51D70D10" w:rsidR="004215F5" w:rsidRDefault="004215F5" w:rsidP="004215F5">
      <w:pPr>
        <w:jc w:val="both"/>
        <w:rPr>
          <w:rFonts w:ascii="Arial" w:hAnsi="Arial" w:cs="Arial"/>
          <w:b/>
          <w:bCs/>
        </w:rPr>
      </w:pPr>
      <w:r>
        <w:rPr>
          <w:rFonts w:ascii="Arial" w:hAnsi="Arial" w:cs="Arial"/>
          <w:b/>
          <w:bCs/>
        </w:rPr>
        <w:t xml:space="preserve">QUE LA </w:t>
      </w:r>
      <w:r w:rsidR="00A34F46">
        <w:rPr>
          <w:rFonts w:ascii="Arial" w:hAnsi="Arial" w:cs="Arial"/>
          <w:b/>
          <w:bCs/>
        </w:rPr>
        <w:t>LXVI LEGISLATURA DEL H. CONGRESO DEL ESTADO LIBRE Y SOBERANO DE HIDALGO, A TENIDO A BIEN DIRIGIRME EL SIGUIENTE:</w:t>
      </w:r>
    </w:p>
    <w:p w14:paraId="704784A0" w14:textId="77777777" w:rsidR="00A34F46" w:rsidRPr="004215F5" w:rsidRDefault="00A34F46" w:rsidP="004215F5">
      <w:pPr>
        <w:jc w:val="both"/>
        <w:rPr>
          <w:rFonts w:ascii="Arial" w:hAnsi="Arial" w:cs="Arial"/>
          <w:b/>
          <w:bCs/>
        </w:rPr>
      </w:pPr>
    </w:p>
    <w:p w14:paraId="0F34A0C3" w14:textId="71A343F7" w:rsidR="00DA60F0" w:rsidRPr="007816F3" w:rsidRDefault="00DA60F0" w:rsidP="004215F5">
      <w:pPr>
        <w:jc w:val="center"/>
        <w:rPr>
          <w:rFonts w:ascii="Arial" w:hAnsi="Arial" w:cs="Arial"/>
          <w:b/>
          <w:bCs/>
          <w:lang w:val="pt-PT"/>
        </w:rPr>
      </w:pPr>
      <w:r w:rsidRPr="007816F3">
        <w:rPr>
          <w:rFonts w:ascii="Arial" w:hAnsi="Arial" w:cs="Arial"/>
          <w:b/>
          <w:bCs/>
          <w:lang w:val="pt-PT"/>
        </w:rPr>
        <w:t>D</w:t>
      </w:r>
      <w:r w:rsidR="000024B3" w:rsidRPr="007816F3">
        <w:rPr>
          <w:rFonts w:ascii="Arial" w:hAnsi="Arial" w:cs="Arial"/>
          <w:b/>
          <w:bCs/>
          <w:lang w:val="pt-PT"/>
        </w:rPr>
        <w:t xml:space="preserve"> </w:t>
      </w:r>
      <w:r w:rsidRPr="007816F3">
        <w:rPr>
          <w:rFonts w:ascii="Arial" w:hAnsi="Arial" w:cs="Arial"/>
          <w:b/>
          <w:bCs/>
          <w:lang w:val="pt-PT"/>
        </w:rPr>
        <w:t>E</w:t>
      </w:r>
      <w:r w:rsidR="000024B3" w:rsidRPr="007816F3">
        <w:rPr>
          <w:rFonts w:ascii="Arial" w:hAnsi="Arial" w:cs="Arial"/>
          <w:b/>
          <w:bCs/>
          <w:lang w:val="pt-PT"/>
        </w:rPr>
        <w:t xml:space="preserve"> </w:t>
      </w:r>
      <w:r w:rsidRPr="007816F3">
        <w:rPr>
          <w:rFonts w:ascii="Arial" w:hAnsi="Arial" w:cs="Arial"/>
          <w:b/>
          <w:bCs/>
          <w:lang w:val="pt-PT"/>
        </w:rPr>
        <w:t>C</w:t>
      </w:r>
      <w:r w:rsidR="000024B3" w:rsidRPr="007816F3">
        <w:rPr>
          <w:rFonts w:ascii="Arial" w:hAnsi="Arial" w:cs="Arial"/>
          <w:b/>
          <w:bCs/>
          <w:lang w:val="pt-PT"/>
        </w:rPr>
        <w:t xml:space="preserve"> </w:t>
      </w:r>
      <w:r w:rsidRPr="007816F3">
        <w:rPr>
          <w:rFonts w:ascii="Arial" w:hAnsi="Arial" w:cs="Arial"/>
          <w:b/>
          <w:bCs/>
          <w:lang w:val="pt-PT"/>
        </w:rPr>
        <w:t>R</w:t>
      </w:r>
      <w:r w:rsidR="000024B3" w:rsidRPr="007816F3">
        <w:rPr>
          <w:rFonts w:ascii="Arial" w:hAnsi="Arial" w:cs="Arial"/>
          <w:b/>
          <w:bCs/>
          <w:lang w:val="pt-PT"/>
        </w:rPr>
        <w:t xml:space="preserve"> </w:t>
      </w:r>
      <w:r w:rsidRPr="007816F3">
        <w:rPr>
          <w:rFonts w:ascii="Arial" w:hAnsi="Arial" w:cs="Arial"/>
          <w:b/>
          <w:bCs/>
          <w:lang w:val="pt-PT"/>
        </w:rPr>
        <w:t>E</w:t>
      </w:r>
      <w:r w:rsidR="000024B3" w:rsidRPr="007816F3">
        <w:rPr>
          <w:rFonts w:ascii="Arial" w:hAnsi="Arial" w:cs="Arial"/>
          <w:b/>
          <w:bCs/>
          <w:lang w:val="pt-PT"/>
        </w:rPr>
        <w:t xml:space="preserve"> </w:t>
      </w:r>
      <w:r w:rsidRPr="007816F3">
        <w:rPr>
          <w:rFonts w:ascii="Arial" w:hAnsi="Arial" w:cs="Arial"/>
          <w:b/>
          <w:bCs/>
          <w:lang w:val="pt-PT"/>
        </w:rPr>
        <w:t>T</w:t>
      </w:r>
      <w:r w:rsidR="000024B3" w:rsidRPr="007816F3">
        <w:rPr>
          <w:rFonts w:ascii="Arial" w:hAnsi="Arial" w:cs="Arial"/>
          <w:b/>
          <w:bCs/>
          <w:lang w:val="pt-PT"/>
        </w:rPr>
        <w:t xml:space="preserve"> </w:t>
      </w:r>
      <w:r w:rsidRPr="007816F3">
        <w:rPr>
          <w:rFonts w:ascii="Arial" w:hAnsi="Arial" w:cs="Arial"/>
          <w:b/>
          <w:bCs/>
          <w:lang w:val="pt-PT"/>
        </w:rPr>
        <w:t xml:space="preserve">O </w:t>
      </w:r>
      <w:r w:rsidR="000024B3" w:rsidRPr="007816F3">
        <w:rPr>
          <w:rFonts w:ascii="Arial" w:hAnsi="Arial" w:cs="Arial"/>
          <w:b/>
          <w:bCs/>
          <w:lang w:val="pt-PT"/>
        </w:rPr>
        <w:t>NÚM.</w:t>
      </w:r>
      <w:r w:rsidRPr="007816F3">
        <w:rPr>
          <w:rFonts w:ascii="Arial" w:hAnsi="Arial" w:cs="Arial"/>
          <w:b/>
          <w:bCs/>
          <w:lang w:val="pt-PT"/>
        </w:rPr>
        <w:t xml:space="preserve"> </w:t>
      </w:r>
      <w:r w:rsidR="008664AE" w:rsidRPr="007816F3">
        <w:rPr>
          <w:rFonts w:ascii="Arial" w:hAnsi="Arial" w:cs="Arial"/>
          <w:b/>
          <w:bCs/>
          <w:lang w:val="pt-PT"/>
        </w:rPr>
        <w:t>2</w:t>
      </w:r>
      <w:r w:rsidR="003A360B" w:rsidRPr="007816F3">
        <w:rPr>
          <w:rFonts w:ascii="Arial" w:hAnsi="Arial" w:cs="Arial"/>
          <w:b/>
          <w:bCs/>
          <w:lang w:val="pt-PT"/>
        </w:rPr>
        <w:t>6</w:t>
      </w:r>
      <w:r w:rsidRPr="007816F3">
        <w:rPr>
          <w:rFonts w:ascii="Arial" w:hAnsi="Arial" w:cs="Arial"/>
          <w:b/>
          <w:bCs/>
          <w:lang w:val="pt-PT"/>
        </w:rPr>
        <w:t xml:space="preserve"> – LXVI</w:t>
      </w:r>
    </w:p>
    <w:p w14:paraId="71080CB0" w14:textId="77777777" w:rsidR="00DA60F0" w:rsidRPr="007816F3" w:rsidRDefault="00DA60F0" w:rsidP="004215F5">
      <w:pPr>
        <w:ind w:left="1418"/>
        <w:jc w:val="both"/>
        <w:rPr>
          <w:rFonts w:ascii="Arial" w:hAnsi="Arial" w:cs="Arial"/>
          <w:b/>
          <w:bCs/>
          <w:lang w:val="pt-PT"/>
        </w:rPr>
      </w:pPr>
    </w:p>
    <w:p w14:paraId="730D16FF" w14:textId="3FADF8EB" w:rsidR="00DA60F0" w:rsidRPr="007816F3" w:rsidRDefault="009057D1" w:rsidP="004215F5">
      <w:pPr>
        <w:jc w:val="both"/>
        <w:rPr>
          <w:rFonts w:ascii="Arial" w:hAnsi="Arial" w:cs="Arial"/>
          <w:b/>
          <w:bCs/>
        </w:rPr>
      </w:pPr>
      <w:r w:rsidRPr="007816F3">
        <w:rPr>
          <w:rFonts w:ascii="Arial" w:hAnsi="Arial" w:cs="Arial"/>
          <w:b/>
          <w:bCs/>
        </w:rPr>
        <w:t>QUE CONTIENE LA LEY DE INGRESOS DEL ESTADO LIBRE Y SOBERANO DE HIDALGO PARA EL EJERCICIO FISCAL DEL AÑO 2025</w:t>
      </w:r>
      <w:r w:rsidR="007122BD" w:rsidRPr="007816F3">
        <w:rPr>
          <w:rFonts w:ascii="Arial" w:hAnsi="Arial" w:cs="Arial"/>
          <w:b/>
          <w:bCs/>
        </w:rPr>
        <w:t>.</w:t>
      </w:r>
    </w:p>
    <w:p w14:paraId="0EDBDF2B" w14:textId="77777777" w:rsidR="00DA60F0" w:rsidRPr="007816F3" w:rsidRDefault="00DA60F0" w:rsidP="004215F5">
      <w:pPr>
        <w:ind w:left="1701"/>
        <w:jc w:val="both"/>
        <w:rPr>
          <w:rFonts w:ascii="Arial" w:hAnsi="Arial" w:cs="Arial"/>
        </w:rPr>
      </w:pPr>
    </w:p>
    <w:p w14:paraId="58383211" w14:textId="77777777" w:rsidR="00DA60F0" w:rsidRPr="007816F3" w:rsidRDefault="00DA60F0" w:rsidP="004215F5">
      <w:pPr>
        <w:jc w:val="both"/>
        <w:rPr>
          <w:rFonts w:ascii="Arial" w:hAnsi="Arial" w:cs="Arial"/>
        </w:rPr>
      </w:pPr>
      <w:r w:rsidRPr="007816F3">
        <w:rPr>
          <w:rFonts w:ascii="Arial" w:hAnsi="Arial" w:cs="Arial"/>
        </w:rPr>
        <w:t xml:space="preserve">El Congreso del Estado Libre y Soberano de Hidalgo, en uso de las facultades que le confiere el artículo 56, fracciones I y II de la Constitución Política del Estado de Hidalgo, </w:t>
      </w:r>
      <w:r w:rsidRPr="007816F3">
        <w:rPr>
          <w:rFonts w:ascii="Arial" w:hAnsi="Arial" w:cs="Arial"/>
          <w:b/>
          <w:bCs/>
        </w:rPr>
        <w:t>D E C R E T A:</w:t>
      </w:r>
    </w:p>
    <w:p w14:paraId="7C284D1E" w14:textId="77777777" w:rsidR="004215F5" w:rsidRDefault="004215F5" w:rsidP="004215F5">
      <w:pPr>
        <w:jc w:val="center"/>
        <w:rPr>
          <w:rFonts w:ascii="Arial" w:hAnsi="Arial" w:cs="Arial"/>
          <w:b/>
          <w:bCs/>
          <w:lang w:val="pt-PT"/>
        </w:rPr>
      </w:pPr>
    </w:p>
    <w:p w14:paraId="7EE592B5" w14:textId="0E0F4DCC" w:rsidR="00DA60F0" w:rsidRPr="007816F3" w:rsidRDefault="00DA60F0" w:rsidP="004215F5">
      <w:pPr>
        <w:jc w:val="center"/>
        <w:rPr>
          <w:rFonts w:ascii="Arial" w:hAnsi="Arial" w:cs="Arial"/>
          <w:b/>
          <w:bCs/>
          <w:lang w:val="pt-PT"/>
        </w:rPr>
      </w:pPr>
      <w:r w:rsidRPr="007816F3">
        <w:rPr>
          <w:rFonts w:ascii="Arial" w:hAnsi="Arial" w:cs="Arial"/>
          <w:b/>
          <w:bCs/>
          <w:lang w:val="pt-PT"/>
        </w:rPr>
        <w:t>A N T E C E D E N T E S</w:t>
      </w:r>
    </w:p>
    <w:p w14:paraId="483A3678" w14:textId="77777777" w:rsidR="00DA60F0" w:rsidRPr="007816F3" w:rsidRDefault="00DA60F0" w:rsidP="004215F5">
      <w:pPr>
        <w:pStyle w:val="Textoindependiente"/>
        <w:spacing w:after="0"/>
        <w:jc w:val="both"/>
        <w:rPr>
          <w:rFonts w:ascii="Arial" w:hAnsi="Arial" w:cs="Arial"/>
          <w:b/>
          <w:lang w:val="pt-PT"/>
        </w:rPr>
      </w:pPr>
    </w:p>
    <w:p w14:paraId="224A3589" w14:textId="7F01DF18" w:rsidR="004544A5" w:rsidRPr="007816F3" w:rsidRDefault="004544A5" w:rsidP="004215F5">
      <w:pPr>
        <w:jc w:val="both"/>
        <w:rPr>
          <w:rFonts w:ascii="Arial" w:eastAsia="Montserrat Medium" w:hAnsi="Arial" w:cs="Arial"/>
          <w:color w:val="000000"/>
        </w:rPr>
      </w:pPr>
      <w:r w:rsidRPr="007816F3">
        <w:rPr>
          <w:rFonts w:ascii="Arial" w:eastAsia="Montserrat Medium" w:hAnsi="Arial" w:cs="Arial"/>
          <w:b/>
          <w:bCs/>
          <w:color w:val="000000"/>
        </w:rPr>
        <w:t xml:space="preserve">1. </w:t>
      </w:r>
      <w:r w:rsidR="009057D1" w:rsidRPr="007816F3">
        <w:rPr>
          <w:rFonts w:ascii="Arial" w:eastAsia="Montserrat Medium" w:hAnsi="Arial" w:cs="Arial"/>
          <w:color w:val="000000"/>
        </w:rPr>
        <w:t>La Comisión Legislativa actuante registró el presente asunto en el Libro de Gobierno, radicado bajo el número 126/2024, integrándose el expediente con los documentos recibidos.</w:t>
      </w:r>
    </w:p>
    <w:p w14:paraId="6E4F13F0" w14:textId="77777777" w:rsidR="007962FC" w:rsidRPr="007816F3" w:rsidRDefault="007962FC" w:rsidP="004215F5">
      <w:pPr>
        <w:jc w:val="both"/>
        <w:rPr>
          <w:rFonts w:ascii="Arial" w:eastAsia="Arial" w:hAnsi="Arial" w:cs="Arial"/>
        </w:rPr>
      </w:pPr>
    </w:p>
    <w:p w14:paraId="16477BC6" w14:textId="6FE63A14" w:rsidR="00DA60F0" w:rsidRPr="007816F3" w:rsidRDefault="00DA60F0" w:rsidP="004215F5">
      <w:pPr>
        <w:jc w:val="both"/>
        <w:rPr>
          <w:rFonts w:ascii="Arial" w:eastAsia="Arial" w:hAnsi="Arial" w:cs="Arial"/>
        </w:rPr>
      </w:pPr>
      <w:r w:rsidRPr="007816F3">
        <w:rPr>
          <w:rFonts w:ascii="Arial" w:eastAsia="Arial" w:hAnsi="Arial" w:cs="Arial"/>
        </w:rPr>
        <w:t>Por lo que, en mérito de lo expuesto; y</w:t>
      </w:r>
    </w:p>
    <w:p w14:paraId="696A828F" w14:textId="77777777" w:rsidR="007962FC" w:rsidRPr="007816F3" w:rsidRDefault="007962FC" w:rsidP="004215F5">
      <w:pPr>
        <w:jc w:val="center"/>
        <w:rPr>
          <w:rFonts w:ascii="Arial" w:hAnsi="Arial" w:cs="Arial"/>
          <w:b/>
          <w:bCs/>
        </w:rPr>
      </w:pPr>
    </w:p>
    <w:p w14:paraId="72EB06BB" w14:textId="77777777" w:rsidR="007962FC" w:rsidRPr="007816F3" w:rsidRDefault="007962FC" w:rsidP="004215F5">
      <w:pPr>
        <w:jc w:val="center"/>
        <w:rPr>
          <w:rFonts w:ascii="Arial" w:hAnsi="Arial" w:cs="Arial"/>
          <w:b/>
          <w:bCs/>
        </w:rPr>
      </w:pPr>
    </w:p>
    <w:p w14:paraId="3B2064EE" w14:textId="77777777" w:rsidR="00DA60F0" w:rsidRPr="007816F3" w:rsidRDefault="00DA60F0" w:rsidP="004215F5">
      <w:pPr>
        <w:jc w:val="center"/>
        <w:rPr>
          <w:rFonts w:ascii="Arial" w:hAnsi="Arial" w:cs="Arial"/>
          <w:b/>
          <w:bCs/>
          <w:lang w:val="pt-PT"/>
        </w:rPr>
      </w:pPr>
      <w:r w:rsidRPr="007816F3">
        <w:rPr>
          <w:rFonts w:ascii="Arial" w:hAnsi="Arial" w:cs="Arial"/>
          <w:b/>
          <w:bCs/>
          <w:lang w:val="pt-PT"/>
        </w:rPr>
        <w:t>C  O  N  S  I  D  E  R  A  N  D  O</w:t>
      </w:r>
    </w:p>
    <w:p w14:paraId="64CCC4F7" w14:textId="77777777" w:rsidR="00DA60F0" w:rsidRPr="007816F3" w:rsidRDefault="00DA60F0" w:rsidP="004215F5">
      <w:pPr>
        <w:pStyle w:val="Textoindependiente"/>
        <w:spacing w:after="0"/>
        <w:jc w:val="both"/>
        <w:rPr>
          <w:rFonts w:ascii="Arial" w:hAnsi="Arial" w:cs="Arial"/>
          <w:b/>
          <w:lang w:val="pt-PT"/>
        </w:rPr>
      </w:pPr>
    </w:p>
    <w:p w14:paraId="19D710B5" w14:textId="77777777" w:rsidR="009057D1" w:rsidRPr="007816F3" w:rsidRDefault="009057D1" w:rsidP="004215F5">
      <w:pPr>
        <w:pStyle w:val="Textoindependiente"/>
        <w:spacing w:after="0"/>
        <w:jc w:val="both"/>
        <w:rPr>
          <w:rFonts w:ascii="Arial" w:hAnsi="Arial" w:cs="Arial"/>
        </w:rPr>
      </w:pPr>
      <w:r w:rsidRPr="007816F3">
        <w:rPr>
          <w:rFonts w:ascii="Arial" w:hAnsi="Arial" w:cs="Arial"/>
          <w:b/>
          <w:color w:val="17171A"/>
        </w:rPr>
        <w:t>PRIMERO</w:t>
      </w:r>
      <w:r w:rsidRPr="007816F3">
        <w:rPr>
          <w:rFonts w:ascii="Arial" w:hAnsi="Arial" w:cs="Arial"/>
          <w:b/>
          <w:color w:val="333334"/>
        </w:rPr>
        <w:t xml:space="preserve">. </w:t>
      </w:r>
      <w:r w:rsidRPr="007816F3">
        <w:rPr>
          <w:rFonts w:ascii="Arial" w:hAnsi="Arial" w:cs="Arial"/>
        </w:rPr>
        <w:t>Que, con fundamento en lo dispuesto por la Constitución Política del</w:t>
      </w:r>
      <w:r w:rsidRPr="007816F3">
        <w:rPr>
          <w:rFonts w:ascii="Arial" w:hAnsi="Arial" w:cs="Arial"/>
          <w:spacing w:val="1"/>
        </w:rPr>
        <w:t xml:space="preserve"> </w:t>
      </w:r>
      <w:r w:rsidRPr="007816F3">
        <w:rPr>
          <w:rFonts w:ascii="Arial" w:hAnsi="Arial" w:cs="Arial"/>
        </w:rPr>
        <w:t>Estado Libre y Soberano de Hidalgo, en sus artículos 42 y 56 fracciones I y II, es</w:t>
      </w:r>
      <w:r w:rsidRPr="007816F3">
        <w:rPr>
          <w:rFonts w:ascii="Arial" w:hAnsi="Arial" w:cs="Arial"/>
          <w:spacing w:val="1"/>
        </w:rPr>
        <w:t xml:space="preserve"> </w:t>
      </w:r>
      <w:r w:rsidRPr="007816F3">
        <w:rPr>
          <w:rFonts w:ascii="Arial" w:hAnsi="Arial" w:cs="Arial"/>
        </w:rPr>
        <w:t>facultad del Congreso del Estado, legislar en todo lo que concierne al régimen</w:t>
      </w:r>
      <w:r w:rsidRPr="007816F3">
        <w:rPr>
          <w:rFonts w:ascii="Arial" w:hAnsi="Arial" w:cs="Arial"/>
          <w:spacing w:val="1"/>
        </w:rPr>
        <w:t xml:space="preserve"> </w:t>
      </w:r>
      <w:r w:rsidRPr="007816F3">
        <w:rPr>
          <w:rFonts w:ascii="Arial" w:hAnsi="Arial" w:cs="Arial"/>
        </w:rPr>
        <w:t>interior</w:t>
      </w:r>
      <w:r w:rsidRPr="007816F3">
        <w:rPr>
          <w:rFonts w:ascii="Arial" w:hAnsi="Arial" w:cs="Arial"/>
          <w:spacing w:val="-8"/>
        </w:rPr>
        <w:t xml:space="preserve"> </w:t>
      </w:r>
      <w:r w:rsidRPr="007816F3">
        <w:rPr>
          <w:rFonts w:ascii="Arial" w:hAnsi="Arial" w:cs="Arial"/>
        </w:rPr>
        <w:t>del</w:t>
      </w:r>
      <w:r w:rsidRPr="007816F3">
        <w:rPr>
          <w:rFonts w:ascii="Arial" w:hAnsi="Arial" w:cs="Arial"/>
          <w:spacing w:val="-7"/>
        </w:rPr>
        <w:t xml:space="preserve"> </w:t>
      </w:r>
      <w:r w:rsidRPr="007816F3">
        <w:rPr>
          <w:rFonts w:ascii="Arial" w:hAnsi="Arial" w:cs="Arial"/>
        </w:rPr>
        <w:t>Estado</w:t>
      </w:r>
      <w:r w:rsidRPr="007816F3">
        <w:rPr>
          <w:rFonts w:ascii="Arial" w:hAnsi="Arial" w:cs="Arial"/>
          <w:spacing w:val="-6"/>
        </w:rPr>
        <w:t xml:space="preserve"> </w:t>
      </w:r>
      <w:r w:rsidRPr="007816F3">
        <w:rPr>
          <w:rFonts w:ascii="Arial" w:hAnsi="Arial" w:cs="Arial"/>
        </w:rPr>
        <w:t>y</w:t>
      </w:r>
      <w:r w:rsidRPr="007816F3">
        <w:rPr>
          <w:rFonts w:ascii="Arial" w:hAnsi="Arial" w:cs="Arial"/>
          <w:spacing w:val="-7"/>
        </w:rPr>
        <w:t xml:space="preserve"> </w:t>
      </w:r>
      <w:r w:rsidRPr="007816F3">
        <w:rPr>
          <w:rFonts w:ascii="Arial" w:hAnsi="Arial" w:cs="Arial"/>
        </w:rPr>
        <w:t>expedir</w:t>
      </w:r>
      <w:r w:rsidRPr="007816F3">
        <w:rPr>
          <w:rFonts w:ascii="Arial" w:hAnsi="Arial" w:cs="Arial"/>
          <w:spacing w:val="-9"/>
        </w:rPr>
        <w:t xml:space="preserve"> </w:t>
      </w:r>
      <w:r w:rsidRPr="007816F3">
        <w:rPr>
          <w:rFonts w:ascii="Arial" w:hAnsi="Arial" w:cs="Arial"/>
        </w:rPr>
        <w:t>la</w:t>
      </w:r>
      <w:r w:rsidRPr="007816F3">
        <w:rPr>
          <w:rFonts w:ascii="Arial" w:hAnsi="Arial" w:cs="Arial"/>
          <w:spacing w:val="-6"/>
        </w:rPr>
        <w:t xml:space="preserve"> </w:t>
      </w:r>
      <w:r w:rsidRPr="007816F3">
        <w:rPr>
          <w:rFonts w:ascii="Arial" w:hAnsi="Arial" w:cs="Arial"/>
        </w:rPr>
        <w:t>Leyes</w:t>
      </w:r>
      <w:r w:rsidRPr="007816F3">
        <w:rPr>
          <w:rFonts w:ascii="Arial" w:hAnsi="Arial" w:cs="Arial"/>
          <w:spacing w:val="-7"/>
        </w:rPr>
        <w:t xml:space="preserve"> </w:t>
      </w:r>
      <w:r w:rsidRPr="007816F3">
        <w:rPr>
          <w:rFonts w:ascii="Arial" w:hAnsi="Arial" w:cs="Arial"/>
        </w:rPr>
        <w:t>que</w:t>
      </w:r>
      <w:r w:rsidRPr="007816F3">
        <w:rPr>
          <w:rFonts w:ascii="Arial" w:hAnsi="Arial" w:cs="Arial"/>
          <w:spacing w:val="-6"/>
        </w:rPr>
        <w:t xml:space="preserve"> </w:t>
      </w:r>
      <w:r w:rsidRPr="007816F3">
        <w:rPr>
          <w:rFonts w:ascii="Arial" w:hAnsi="Arial" w:cs="Arial"/>
        </w:rPr>
        <w:t>sean</w:t>
      </w:r>
      <w:r w:rsidRPr="007816F3">
        <w:rPr>
          <w:rFonts w:ascii="Arial" w:hAnsi="Arial" w:cs="Arial"/>
          <w:spacing w:val="-7"/>
        </w:rPr>
        <w:t xml:space="preserve"> </w:t>
      </w:r>
      <w:r w:rsidRPr="007816F3">
        <w:rPr>
          <w:rFonts w:ascii="Arial" w:hAnsi="Arial" w:cs="Arial"/>
        </w:rPr>
        <w:t>necesarias</w:t>
      </w:r>
      <w:r w:rsidRPr="007816F3">
        <w:rPr>
          <w:rFonts w:ascii="Arial" w:hAnsi="Arial" w:cs="Arial"/>
          <w:spacing w:val="-7"/>
        </w:rPr>
        <w:t xml:space="preserve"> </w:t>
      </w:r>
      <w:r w:rsidRPr="007816F3">
        <w:rPr>
          <w:rFonts w:ascii="Arial" w:hAnsi="Arial" w:cs="Arial"/>
        </w:rPr>
        <w:t>para</w:t>
      </w:r>
      <w:r w:rsidRPr="007816F3">
        <w:rPr>
          <w:rFonts w:ascii="Arial" w:hAnsi="Arial" w:cs="Arial"/>
          <w:spacing w:val="-7"/>
        </w:rPr>
        <w:t xml:space="preserve"> </w:t>
      </w:r>
      <w:r w:rsidRPr="007816F3">
        <w:rPr>
          <w:rFonts w:ascii="Arial" w:hAnsi="Arial" w:cs="Arial"/>
        </w:rPr>
        <w:t>hacer</w:t>
      </w:r>
      <w:r w:rsidRPr="007816F3">
        <w:rPr>
          <w:rFonts w:ascii="Arial" w:hAnsi="Arial" w:cs="Arial"/>
          <w:spacing w:val="-7"/>
        </w:rPr>
        <w:t xml:space="preserve"> </w:t>
      </w:r>
      <w:r w:rsidRPr="007816F3">
        <w:rPr>
          <w:rFonts w:ascii="Arial" w:hAnsi="Arial" w:cs="Arial"/>
        </w:rPr>
        <w:t>efectivas</w:t>
      </w:r>
      <w:r w:rsidRPr="007816F3">
        <w:rPr>
          <w:rFonts w:ascii="Arial" w:hAnsi="Arial" w:cs="Arial"/>
          <w:spacing w:val="-9"/>
        </w:rPr>
        <w:t xml:space="preserve"> </w:t>
      </w:r>
      <w:r w:rsidRPr="007816F3">
        <w:rPr>
          <w:rFonts w:ascii="Arial" w:hAnsi="Arial" w:cs="Arial"/>
        </w:rPr>
        <w:t>las</w:t>
      </w:r>
      <w:r w:rsidRPr="007816F3">
        <w:rPr>
          <w:rFonts w:ascii="Arial" w:hAnsi="Arial" w:cs="Arial"/>
          <w:spacing w:val="-65"/>
        </w:rPr>
        <w:t xml:space="preserve"> </w:t>
      </w:r>
      <w:r w:rsidRPr="007816F3">
        <w:rPr>
          <w:rFonts w:ascii="Arial" w:hAnsi="Arial" w:cs="Arial"/>
        </w:rPr>
        <w:t>facultades</w:t>
      </w:r>
      <w:r w:rsidRPr="007816F3">
        <w:rPr>
          <w:rFonts w:ascii="Arial" w:hAnsi="Arial" w:cs="Arial"/>
          <w:spacing w:val="-3"/>
        </w:rPr>
        <w:t xml:space="preserve"> </w:t>
      </w:r>
      <w:r w:rsidRPr="007816F3">
        <w:rPr>
          <w:rFonts w:ascii="Arial" w:hAnsi="Arial" w:cs="Arial"/>
        </w:rPr>
        <w:t>otorgadas</w:t>
      </w:r>
      <w:r w:rsidRPr="007816F3">
        <w:rPr>
          <w:rFonts w:ascii="Arial" w:hAnsi="Arial" w:cs="Arial"/>
          <w:spacing w:val="-1"/>
        </w:rPr>
        <w:t xml:space="preserve"> </w:t>
      </w:r>
      <w:r w:rsidRPr="007816F3">
        <w:rPr>
          <w:rFonts w:ascii="Arial" w:hAnsi="Arial" w:cs="Arial"/>
        </w:rPr>
        <w:t>por</w:t>
      </w:r>
      <w:r w:rsidRPr="007816F3">
        <w:rPr>
          <w:rFonts w:ascii="Arial" w:hAnsi="Arial" w:cs="Arial"/>
          <w:spacing w:val="-1"/>
        </w:rPr>
        <w:t xml:space="preserve"> </w:t>
      </w:r>
      <w:r w:rsidRPr="007816F3">
        <w:rPr>
          <w:rFonts w:ascii="Arial" w:hAnsi="Arial" w:cs="Arial"/>
        </w:rPr>
        <w:t>esta</w:t>
      </w:r>
      <w:r w:rsidRPr="007816F3">
        <w:rPr>
          <w:rFonts w:ascii="Arial" w:hAnsi="Arial" w:cs="Arial"/>
          <w:spacing w:val="1"/>
        </w:rPr>
        <w:t xml:space="preserve"> </w:t>
      </w:r>
      <w:r w:rsidRPr="007816F3">
        <w:rPr>
          <w:rFonts w:ascii="Arial" w:hAnsi="Arial" w:cs="Arial"/>
        </w:rPr>
        <w:t>Constitución</w:t>
      </w:r>
      <w:r w:rsidRPr="007816F3">
        <w:rPr>
          <w:rFonts w:ascii="Arial" w:hAnsi="Arial" w:cs="Arial"/>
          <w:spacing w:val="-2"/>
        </w:rPr>
        <w:t xml:space="preserve"> </w:t>
      </w:r>
      <w:r w:rsidRPr="007816F3">
        <w:rPr>
          <w:rFonts w:ascii="Arial" w:hAnsi="Arial" w:cs="Arial"/>
        </w:rPr>
        <w:t>a</w:t>
      </w:r>
      <w:r w:rsidRPr="007816F3">
        <w:rPr>
          <w:rFonts w:ascii="Arial" w:hAnsi="Arial" w:cs="Arial"/>
          <w:spacing w:val="-1"/>
        </w:rPr>
        <w:t xml:space="preserve"> </w:t>
      </w:r>
      <w:r w:rsidRPr="007816F3">
        <w:rPr>
          <w:rFonts w:ascii="Arial" w:hAnsi="Arial" w:cs="Arial"/>
        </w:rPr>
        <w:t>los</w:t>
      </w:r>
      <w:r w:rsidRPr="007816F3">
        <w:rPr>
          <w:rFonts w:ascii="Arial" w:hAnsi="Arial" w:cs="Arial"/>
          <w:spacing w:val="-1"/>
        </w:rPr>
        <w:t xml:space="preserve"> </w:t>
      </w:r>
      <w:r w:rsidRPr="007816F3">
        <w:rPr>
          <w:rFonts w:ascii="Arial" w:hAnsi="Arial" w:cs="Arial"/>
        </w:rPr>
        <w:t>Poderes</w:t>
      </w:r>
      <w:r w:rsidRPr="007816F3">
        <w:rPr>
          <w:rFonts w:ascii="Arial" w:hAnsi="Arial" w:cs="Arial"/>
          <w:spacing w:val="-2"/>
        </w:rPr>
        <w:t xml:space="preserve"> </w:t>
      </w:r>
      <w:r w:rsidRPr="007816F3">
        <w:rPr>
          <w:rFonts w:ascii="Arial" w:hAnsi="Arial" w:cs="Arial"/>
        </w:rPr>
        <w:t>del</w:t>
      </w:r>
      <w:r w:rsidRPr="007816F3">
        <w:rPr>
          <w:rFonts w:ascii="Arial" w:hAnsi="Arial" w:cs="Arial"/>
          <w:spacing w:val="-1"/>
        </w:rPr>
        <w:t xml:space="preserve"> </w:t>
      </w:r>
      <w:r w:rsidRPr="007816F3">
        <w:rPr>
          <w:rFonts w:ascii="Arial" w:hAnsi="Arial" w:cs="Arial"/>
        </w:rPr>
        <w:t>Estado.</w:t>
      </w:r>
    </w:p>
    <w:p w14:paraId="6AA8C16C" w14:textId="77777777" w:rsidR="009057D1" w:rsidRPr="007816F3" w:rsidRDefault="009057D1" w:rsidP="004215F5">
      <w:pPr>
        <w:pStyle w:val="Textoindependiente"/>
        <w:spacing w:after="0"/>
        <w:jc w:val="both"/>
        <w:rPr>
          <w:rFonts w:ascii="Arial" w:hAnsi="Arial" w:cs="Arial"/>
        </w:rPr>
      </w:pPr>
    </w:p>
    <w:p w14:paraId="67114BFC" w14:textId="77777777" w:rsidR="009057D1" w:rsidRPr="007816F3" w:rsidRDefault="009057D1" w:rsidP="004215F5">
      <w:pPr>
        <w:pStyle w:val="Textoindependiente"/>
        <w:spacing w:after="0"/>
        <w:jc w:val="both"/>
        <w:rPr>
          <w:rFonts w:ascii="Arial" w:hAnsi="Arial" w:cs="Arial"/>
        </w:rPr>
      </w:pPr>
      <w:r w:rsidRPr="007816F3">
        <w:rPr>
          <w:rFonts w:ascii="Arial" w:hAnsi="Arial" w:cs="Arial"/>
          <w:b/>
        </w:rPr>
        <w:t>SEGUNDO</w:t>
      </w:r>
      <w:r w:rsidRPr="007816F3">
        <w:rPr>
          <w:rFonts w:ascii="Arial" w:hAnsi="Arial" w:cs="Arial"/>
        </w:rPr>
        <w:t>. Que de conformidad con lo previsto en los artículos 47 fracción I y 71</w:t>
      </w:r>
      <w:r w:rsidRPr="007816F3">
        <w:rPr>
          <w:rFonts w:ascii="Arial" w:hAnsi="Arial" w:cs="Arial"/>
          <w:spacing w:val="-64"/>
        </w:rPr>
        <w:t xml:space="preserve"> </w:t>
      </w:r>
      <w:r w:rsidRPr="007816F3">
        <w:rPr>
          <w:rFonts w:ascii="Arial" w:hAnsi="Arial" w:cs="Arial"/>
        </w:rPr>
        <w:t>fracción</w:t>
      </w:r>
      <w:r w:rsidRPr="007816F3">
        <w:rPr>
          <w:rFonts w:ascii="Arial" w:hAnsi="Arial" w:cs="Arial"/>
          <w:spacing w:val="6"/>
        </w:rPr>
        <w:t xml:space="preserve"> </w:t>
      </w:r>
      <w:r w:rsidRPr="007816F3">
        <w:rPr>
          <w:rFonts w:ascii="Arial" w:hAnsi="Arial" w:cs="Arial"/>
        </w:rPr>
        <w:t>XXXVIII</w:t>
      </w:r>
      <w:r w:rsidRPr="007816F3">
        <w:rPr>
          <w:rFonts w:ascii="Arial" w:hAnsi="Arial" w:cs="Arial"/>
          <w:spacing w:val="6"/>
        </w:rPr>
        <w:t xml:space="preserve"> </w:t>
      </w:r>
      <w:r w:rsidRPr="007816F3">
        <w:rPr>
          <w:rFonts w:ascii="Arial" w:hAnsi="Arial" w:cs="Arial"/>
        </w:rPr>
        <w:t>de</w:t>
      </w:r>
      <w:r w:rsidRPr="007816F3">
        <w:rPr>
          <w:rFonts w:ascii="Arial" w:hAnsi="Arial" w:cs="Arial"/>
          <w:spacing w:val="6"/>
        </w:rPr>
        <w:t xml:space="preserve"> </w:t>
      </w:r>
      <w:r w:rsidRPr="007816F3">
        <w:rPr>
          <w:rFonts w:ascii="Arial" w:hAnsi="Arial" w:cs="Arial"/>
        </w:rPr>
        <w:t>la</w:t>
      </w:r>
      <w:r w:rsidRPr="007816F3">
        <w:rPr>
          <w:rFonts w:ascii="Arial" w:hAnsi="Arial" w:cs="Arial"/>
          <w:spacing w:val="3"/>
        </w:rPr>
        <w:t xml:space="preserve"> </w:t>
      </w:r>
      <w:r w:rsidRPr="007816F3">
        <w:rPr>
          <w:rFonts w:ascii="Arial" w:hAnsi="Arial" w:cs="Arial"/>
        </w:rPr>
        <w:t>Constitución</w:t>
      </w:r>
      <w:r w:rsidRPr="007816F3">
        <w:rPr>
          <w:rFonts w:ascii="Arial" w:hAnsi="Arial" w:cs="Arial"/>
          <w:spacing w:val="7"/>
        </w:rPr>
        <w:t xml:space="preserve"> </w:t>
      </w:r>
      <w:r w:rsidRPr="007816F3">
        <w:rPr>
          <w:rFonts w:ascii="Arial" w:hAnsi="Arial" w:cs="Arial"/>
        </w:rPr>
        <w:t>Política</w:t>
      </w:r>
      <w:r w:rsidRPr="007816F3">
        <w:rPr>
          <w:rFonts w:ascii="Arial" w:hAnsi="Arial" w:cs="Arial"/>
          <w:spacing w:val="6"/>
        </w:rPr>
        <w:t xml:space="preserve"> </w:t>
      </w:r>
      <w:r w:rsidRPr="007816F3">
        <w:rPr>
          <w:rFonts w:ascii="Arial" w:hAnsi="Arial" w:cs="Arial"/>
        </w:rPr>
        <w:t>del</w:t>
      </w:r>
      <w:r w:rsidRPr="007816F3">
        <w:rPr>
          <w:rFonts w:ascii="Arial" w:hAnsi="Arial" w:cs="Arial"/>
          <w:spacing w:val="5"/>
        </w:rPr>
        <w:t xml:space="preserve"> </w:t>
      </w:r>
      <w:r w:rsidRPr="007816F3">
        <w:rPr>
          <w:rFonts w:ascii="Arial" w:hAnsi="Arial" w:cs="Arial"/>
        </w:rPr>
        <w:t>Estado</w:t>
      </w:r>
      <w:r w:rsidRPr="007816F3">
        <w:rPr>
          <w:rFonts w:ascii="Arial" w:hAnsi="Arial" w:cs="Arial"/>
          <w:spacing w:val="6"/>
        </w:rPr>
        <w:t xml:space="preserve"> </w:t>
      </w:r>
      <w:r w:rsidRPr="007816F3">
        <w:rPr>
          <w:rFonts w:ascii="Arial" w:hAnsi="Arial" w:cs="Arial"/>
        </w:rPr>
        <w:t>de</w:t>
      </w:r>
      <w:r w:rsidRPr="007816F3">
        <w:rPr>
          <w:rFonts w:ascii="Arial" w:hAnsi="Arial" w:cs="Arial"/>
          <w:spacing w:val="6"/>
        </w:rPr>
        <w:t xml:space="preserve"> </w:t>
      </w:r>
      <w:r w:rsidRPr="007816F3">
        <w:rPr>
          <w:rFonts w:ascii="Arial" w:hAnsi="Arial" w:cs="Arial"/>
        </w:rPr>
        <w:t>Hidalgo,</w:t>
      </w:r>
      <w:r w:rsidRPr="007816F3">
        <w:rPr>
          <w:rFonts w:ascii="Arial" w:hAnsi="Arial" w:cs="Arial"/>
          <w:spacing w:val="4"/>
        </w:rPr>
        <w:t xml:space="preserve"> </w:t>
      </w:r>
      <w:r w:rsidRPr="007816F3">
        <w:rPr>
          <w:rFonts w:ascii="Arial" w:hAnsi="Arial" w:cs="Arial"/>
        </w:rPr>
        <w:t>es</w:t>
      </w:r>
      <w:r w:rsidRPr="007816F3">
        <w:rPr>
          <w:rFonts w:ascii="Arial" w:hAnsi="Arial" w:cs="Arial"/>
          <w:spacing w:val="5"/>
        </w:rPr>
        <w:t xml:space="preserve"> </w:t>
      </w:r>
      <w:r w:rsidRPr="007816F3">
        <w:rPr>
          <w:rFonts w:ascii="Arial" w:hAnsi="Arial" w:cs="Arial"/>
        </w:rPr>
        <w:t>facultad</w:t>
      </w:r>
      <w:r w:rsidRPr="007816F3">
        <w:rPr>
          <w:rFonts w:ascii="Arial" w:hAnsi="Arial" w:cs="Arial"/>
          <w:spacing w:val="3"/>
        </w:rPr>
        <w:t xml:space="preserve"> </w:t>
      </w:r>
      <w:r w:rsidRPr="007816F3">
        <w:rPr>
          <w:rFonts w:ascii="Arial" w:hAnsi="Arial" w:cs="Arial"/>
        </w:rPr>
        <w:t>del Gobernador Constitucional del Estado, presentar la iniciativa de Ley de Ingresos</w:t>
      </w:r>
      <w:r w:rsidRPr="007816F3">
        <w:rPr>
          <w:rFonts w:ascii="Arial" w:hAnsi="Arial" w:cs="Arial"/>
          <w:spacing w:val="1"/>
        </w:rPr>
        <w:t xml:space="preserve"> </w:t>
      </w:r>
      <w:r w:rsidRPr="007816F3">
        <w:rPr>
          <w:rFonts w:ascii="Arial" w:hAnsi="Arial" w:cs="Arial"/>
        </w:rPr>
        <w:t>del</w:t>
      </w:r>
      <w:r w:rsidRPr="007816F3">
        <w:rPr>
          <w:rFonts w:ascii="Arial" w:hAnsi="Arial" w:cs="Arial"/>
          <w:spacing w:val="-1"/>
        </w:rPr>
        <w:t xml:space="preserve"> </w:t>
      </w:r>
      <w:r w:rsidRPr="007816F3">
        <w:rPr>
          <w:rFonts w:ascii="Arial" w:hAnsi="Arial" w:cs="Arial"/>
        </w:rPr>
        <w:t>Estado</w:t>
      </w:r>
      <w:r w:rsidRPr="007816F3">
        <w:rPr>
          <w:rFonts w:ascii="Arial" w:hAnsi="Arial" w:cs="Arial"/>
          <w:spacing w:val="-2"/>
        </w:rPr>
        <w:t xml:space="preserve"> </w:t>
      </w:r>
      <w:r w:rsidRPr="007816F3">
        <w:rPr>
          <w:rFonts w:ascii="Arial" w:hAnsi="Arial" w:cs="Arial"/>
        </w:rPr>
        <w:t>Libre y</w:t>
      </w:r>
      <w:r w:rsidRPr="007816F3">
        <w:rPr>
          <w:rFonts w:ascii="Arial" w:hAnsi="Arial" w:cs="Arial"/>
          <w:spacing w:val="-2"/>
        </w:rPr>
        <w:t xml:space="preserve"> </w:t>
      </w:r>
      <w:r w:rsidRPr="007816F3">
        <w:rPr>
          <w:rFonts w:ascii="Arial" w:hAnsi="Arial" w:cs="Arial"/>
        </w:rPr>
        <w:t>Soberano</w:t>
      </w:r>
      <w:r w:rsidRPr="007816F3">
        <w:rPr>
          <w:rFonts w:ascii="Arial" w:hAnsi="Arial" w:cs="Arial"/>
          <w:spacing w:val="-2"/>
        </w:rPr>
        <w:t xml:space="preserve"> </w:t>
      </w:r>
      <w:r w:rsidRPr="007816F3">
        <w:rPr>
          <w:rFonts w:ascii="Arial" w:hAnsi="Arial" w:cs="Arial"/>
        </w:rPr>
        <w:t>de Hidalgo.</w:t>
      </w:r>
    </w:p>
    <w:p w14:paraId="1D9CF723" w14:textId="77777777" w:rsidR="009057D1" w:rsidRPr="007816F3" w:rsidRDefault="009057D1" w:rsidP="004215F5">
      <w:pPr>
        <w:pStyle w:val="Textoindependiente"/>
        <w:spacing w:after="0"/>
        <w:jc w:val="both"/>
        <w:rPr>
          <w:rFonts w:ascii="Arial" w:hAnsi="Arial" w:cs="Arial"/>
        </w:rPr>
      </w:pPr>
    </w:p>
    <w:p w14:paraId="29C1C578" w14:textId="77777777" w:rsidR="009057D1" w:rsidRPr="007816F3" w:rsidRDefault="009057D1" w:rsidP="004215F5">
      <w:pPr>
        <w:pStyle w:val="Textoindependiente"/>
        <w:spacing w:after="0"/>
        <w:jc w:val="both"/>
        <w:rPr>
          <w:rFonts w:ascii="Arial" w:hAnsi="Arial" w:cs="Arial"/>
        </w:rPr>
      </w:pPr>
      <w:r w:rsidRPr="007816F3">
        <w:rPr>
          <w:rFonts w:ascii="Arial" w:hAnsi="Arial" w:cs="Arial"/>
          <w:b/>
        </w:rPr>
        <w:t>TERCERO</w:t>
      </w:r>
      <w:r w:rsidRPr="007816F3">
        <w:rPr>
          <w:rFonts w:ascii="Arial" w:hAnsi="Arial" w:cs="Arial"/>
        </w:rPr>
        <w:t>. De conformidad con el artículo 12 fracción II de la Constitución Política</w:t>
      </w:r>
      <w:r w:rsidRPr="007816F3">
        <w:rPr>
          <w:rFonts w:ascii="Arial" w:hAnsi="Arial" w:cs="Arial"/>
          <w:spacing w:val="-64"/>
        </w:rPr>
        <w:t xml:space="preserve"> </w:t>
      </w:r>
      <w:r w:rsidRPr="007816F3">
        <w:rPr>
          <w:rFonts w:ascii="Arial" w:hAnsi="Arial" w:cs="Arial"/>
        </w:rPr>
        <w:t>del</w:t>
      </w:r>
      <w:r w:rsidRPr="007816F3">
        <w:rPr>
          <w:rFonts w:ascii="Arial" w:hAnsi="Arial" w:cs="Arial"/>
          <w:spacing w:val="-14"/>
        </w:rPr>
        <w:t xml:space="preserve"> </w:t>
      </w:r>
      <w:r w:rsidRPr="007816F3">
        <w:rPr>
          <w:rFonts w:ascii="Arial" w:hAnsi="Arial" w:cs="Arial"/>
        </w:rPr>
        <w:t>Estado</w:t>
      </w:r>
      <w:r w:rsidRPr="007816F3">
        <w:rPr>
          <w:rFonts w:ascii="Arial" w:hAnsi="Arial" w:cs="Arial"/>
          <w:spacing w:val="-15"/>
        </w:rPr>
        <w:t xml:space="preserve"> </w:t>
      </w:r>
      <w:r w:rsidRPr="007816F3">
        <w:rPr>
          <w:rFonts w:ascii="Arial" w:hAnsi="Arial" w:cs="Arial"/>
        </w:rPr>
        <w:t>de</w:t>
      </w:r>
      <w:r w:rsidRPr="007816F3">
        <w:rPr>
          <w:rFonts w:ascii="Arial" w:hAnsi="Arial" w:cs="Arial"/>
          <w:spacing w:val="-13"/>
        </w:rPr>
        <w:t xml:space="preserve"> </w:t>
      </w:r>
      <w:r w:rsidRPr="007816F3">
        <w:rPr>
          <w:rFonts w:ascii="Arial" w:hAnsi="Arial" w:cs="Arial"/>
        </w:rPr>
        <w:t>Hidalgo,</w:t>
      </w:r>
      <w:r w:rsidRPr="007816F3">
        <w:rPr>
          <w:rFonts w:ascii="Arial" w:hAnsi="Arial" w:cs="Arial"/>
          <w:spacing w:val="-16"/>
        </w:rPr>
        <w:t xml:space="preserve"> </w:t>
      </w:r>
      <w:r w:rsidRPr="007816F3">
        <w:rPr>
          <w:rFonts w:ascii="Arial" w:hAnsi="Arial" w:cs="Arial"/>
        </w:rPr>
        <w:t>es</w:t>
      </w:r>
      <w:r w:rsidRPr="007816F3">
        <w:rPr>
          <w:rFonts w:ascii="Arial" w:hAnsi="Arial" w:cs="Arial"/>
          <w:spacing w:val="-14"/>
        </w:rPr>
        <w:t xml:space="preserve"> </w:t>
      </w:r>
      <w:r w:rsidRPr="007816F3">
        <w:rPr>
          <w:rFonts w:ascii="Arial" w:hAnsi="Arial" w:cs="Arial"/>
        </w:rPr>
        <w:t>obligación</w:t>
      </w:r>
      <w:r w:rsidRPr="007816F3">
        <w:rPr>
          <w:rFonts w:ascii="Arial" w:hAnsi="Arial" w:cs="Arial"/>
          <w:spacing w:val="-14"/>
        </w:rPr>
        <w:t xml:space="preserve"> </w:t>
      </w:r>
      <w:r w:rsidRPr="007816F3">
        <w:rPr>
          <w:rFonts w:ascii="Arial" w:hAnsi="Arial" w:cs="Arial"/>
        </w:rPr>
        <w:t>de</w:t>
      </w:r>
      <w:r w:rsidRPr="007816F3">
        <w:rPr>
          <w:rFonts w:ascii="Arial" w:hAnsi="Arial" w:cs="Arial"/>
          <w:spacing w:val="-13"/>
        </w:rPr>
        <w:t xml:space="preserve"> </w:t>
      </w:r>
      <w:r w:rsidRPr="007816F3">
        <w:rPr>
          <w:rFonts w:ascii="Arial" w:hAnsi="Arial" w:cs="Arial"/>
        </w:rPr>
        <w:t>los</w:t>
      </w:r>
      <w:r w:rsidRPr="007816F3">
        <w:rPr>
          <w:rFonts w:ascii="Arial" w:hAnsi="Arial" w:cs="Arial"/>
          <w:spacing w:val="-16"/>
        </w:rPr>
        <w:t xml:space="preserve"> </w:t>
      </w:r>
      <w:r w:rsidRPr="007816F3">
        <w:rPr>
          <w:rFonts w:ascii="Arial" w:hAnsi="Arial" w:cs="Arial"/>
        </w:rPr>
        <w:t>habitantes</w:t>
      </w:r>
      <w:r w:rsidRPr="007816F3">
        <w:rPr>
          <w:rFonts w:ascii="Arial" w:hAnsi="Arial" w:cs="Arial"/>
          <w:spacing w:val="-14"/>
        </w:rPr>
        <w:t xml:space="preserve"> </w:t>
      </w:r>
      <w:r w:rsidRPr="007816F3">
        <w:rPr>
          <w:rFonts w:ascii="Arial" w:hAnsi="Arial" w:cs="Arial"/>
        </w:rPr>
        <w:t>del</w:t>
      </w:r>
      <w:r w:rsidRPr="007816F3">
        <w:rPr>
          <w:rFonts w:ascii="Arial" w:hAnsi="Arial" w:cs="Arial"/>
          <w:spacing w:val="-14"/>
        </w:rPr>
        <w:t xml:space="preserve"> </w:t>
      </w:r>
      <w:r w:rsidRPr="007816F3">
        <w:rPr>
          <w:rFonts w:ascii="Arial" w:hAnsi="Arial" w:cs="Arial"/>
        </w:rPr>
        <w:t>Estado,</w:t>
      </w:r>
      <w:r w:rsidRPr="007816F3">
        <w:rPr>
          <w:rFonts w:ascii="Arial" w:hAnsi="Arial" w:cs="Arial"/>
          <w:spacing w:val="-16"/>
        </w:rPr>
        <w:t xml:space="preserve"> </w:t>
      </w:r>
      <w:r w:rsidRPr="007816F3">
        <w:rPr>
          <w:rFonts w:ascii="Arial" w:hAnsi="Arial" w:cs="Arial"/>
        </w:rPr>
        <w:t>contribuir</w:t>
      </w:r>
      <w:r w:rsidRPr="007816F3">
        <w:rPr>
          <w:rFonts w:ascii="Arial" w:hAnsi="Arial" w:cs="Arial"/>
          <w:spacing w:val="-14"/>
        </w:rPr>
        <w:t xml:space="preserve"> </w:t>
      </w:r>
      <w:r w:rsidRPr="007816F3">
        <w:rPr>
          <w:rFonts w:ascii="Arial" w:hAnsi="Arial" w:cs="Arial"/>
        </w:rPr>
        <w:t>al</w:t>
      </w:r>
      <w:r w:rsidRPr="007816F3">
        <w:rPr>
          <w:rFonts w:ascii="Arial" w:hAnsi="Arial" w:cs="Arial"/>
          <w:spacing w:val="-14"/>
        </w:rPr>
        <w:t xml:space="preserve"> </w:t>
      </w:r>
      <w:r w:rsidRPr="007816F3">
        <w:rPr>
          <w:rFonts w:ascii="Arial" w:hAnsi="Arial" w:cs="Arial"/>
        </w:rPr>
        <w:t>gasto</w:t>
      </w:r>
      <w:r w:rsidRPr="007816F3">
        <w:rPr>
          <w:rFonts w:ascii="Arial" w:hAnsi="Arial" w:cs="Arial"/>
          <w:spacing w:val="-64"/>
        </w:rPr>
        <w:t xml:space="preserve"> </w:t>
      </w:r>
      <w:r w:rsidRPr="007816F3">
        <w:rPr>
          <w:rFonts w:ascii="Arial" w:hAnsi="Arial" w:cs="Arial"/>
        </w:rPr>
        <w:t>público del Estado y del Municipio en donde residan o tengan bienes, en la forma</w:t>
      </w:r>
      <w:r w:rsidRPr="007816F3">
        <w:rPr>
          <w:rFonts w:ascii="Arial" w:hAnsi="Arial" w:cs="Arial"/>
          <w:spacing w:val="1"/>
        </w:rPr>
        <w:t xml:space="preserve"> </w:t>
      </w:r>
      <w:r w:rsidRPr="007816F3">
        <w:rPr>
          <w:rFonts w:ascii="Arial" w:hAnsi="Arial" w:cs="Arial"/>
        </w:rPr>
        <w:t>proporcional</w:t>
      </w:r>
      <w:r w:rsidRPr="007816F3">
        <w:rPr>
          <w:rFonts w:ascii="Arial" w:hAnsi="Arial" w:cs="Arial"/>
          <w:spacing w:val="-1"/>
        </w:rPr>
        <w:t xml:space="preserve"> </w:t>
      </w:r>
      <w:r w:rsidRPr="007816F3">
        <w:rPr>
          <w:rFonts w:ascii="Arial" w:hAnsi="Arial" w:cs="Arial"/>
        </w:rPr>
        <w:t>y equitativa que</w:t>
      </w:r>
      <w:r w:rsidRPr="007816F3">
        <w:rPr>
          <w:rFonts w:ascii="Arial" w:hAnsi="Arial" w:cs="Arial"/>
          <w:spacing w:val="-1"/>
        </w:rPr>
        <w:t xml:space="preserve"> </w:t>
      </w:r>
      <w:r w:rsidRPr="007816F3">
        <w:rPr>
          <w:rFonts w:ascii="Arial" w:hAnsi="Arial" w:cs="Arial"/>
        </w:rPr>
        <w:t>dispongan</w:t>
      </w:r>
      <w:r w:rsidRPr="007816F3">
        <w:rPr>
          <w:rFonts w:ascii="Arial" w:hAnsi="Arial" w:cs="Arial"/>
          <w:spacing w:val="-2"/>
        </w:rPr>
        <w:t xml:space="preserve"> </w:t>
      </w:r>
      <w:r w:rsidRPr="007816F3">
        <w:rPr>
          <w:rFonts w:ascii="Arial" w:hAnsi="Arial" w:cs="Arial"/>
        </w:rPr>
        <w:t>las leyes.</w:t>
      </w:r>
    </w:p>
    <w:p w14:paraId="09C15893" w14:textId="77777777" w:rsidR="009057D1" w:rsidRPr="007816F3" w:rsidRDefault="009057D1" w:rsidP="004215F5">
      <w:pPr>
        <w:pStyle w:val="Textoindependiente"/>
        <w:spacing w:after="0"/>
        <w:jc w:val="both"/>
        <w:rPr>
          <w:rFonts w:ascii="Arial" w:hAnsi="Arial" w:cs="Arial"/>
        </w:rPr>
      </w:pPr>
    </w:p>
    <w:p w14:paraId="596FB9EC" w14:textId="77777777" w:rsidR="009057D1" w:rsidRPr="007816F3" w:rsidRDefault="009057D1" w:rsidP="004215F5">
      <w:pPr>
        <w:pStyle w:val="Textoindependiente"/>
        <w:spacing w:after="0"/>
        <w:jc w:val="both"/>
        <w:rPr>
          <w:rFonts w:ascii="Arial" w:hAnsi="Arial" w:cs="Arial"/>
        </w:rPr>
      </w:pPr>
      <w:r w:rsidRPr="007816F3">
        <w:rPr>
          <w:rFonts w:ascii="Arial" w:hAnsi="Arial" w:cs="Arial"/>
          <w:b/>
        </w:rPr>
        <w:t>CUARTO</w:t>
      </w:r>
      <w:r w:rsidRPr="007816F3">
        <w:rPr>
          <w:rFonts w:ascii="Arial" w:hAnsi="Arial" w:cs="Arial"/>
        </w:rPr>
        <w:t>. A su vez, una de las principales premisas de la actual administración</w:t>
      </w:r>
      <w:r w:rsidRPr="007816F3">
        <w:rPr>
          <w:rFonts w:ascii="Arial" w:hAnsi="Arial" w:cs="Arial"/>
          <w:spacing w:val="1"/>
        </w:rPr>
        <w:t xml:space="preserve"> </w:t>
      </w:r>
      <w:r w:rsidRPr="007816F3">
        <w:rPr>
          <w:rFonts w:ascii="Arial" w:hAnsi="Arial" w:cs="Arial"/>
        </w:rPr>
        <w:t>pública estatal, conforme el Acuerdo 1 “Gobierno Cercano, Justo y Honesto” del</w:t>
      </w:r>
      <w:r w:rsidRPr="007816F3">
        <w:rPr>
          <w:rFonts w:ascii="Arial" w:hAnsi="Arial" w:cs="Arial"/>
          <w:spacing w:val="1"/>
        </w:rPr>
        <w:t xml:space="preserve"> </w:t>
      </w:r>
      <w:r w:rsidRPr="007816F3">
        <w:rPr>
          <w:rFonts w:ascii="Arial" w:hAnsi="Arial" w:cs="Arial"/>
        </w:rPr>
        <w:t>Plan Estatal de Desarrollo 2022 – 2028, es la optimización de la recaudación, manteniendo una política fiscal que contribuya a mejorar la distribución de los recursos públicos</w:t>
      </w:r>
    </w:p>
    <w:p w14:paraId="2E3C6741" w14:textId="77777777" w:rsidR="009057D1" w:rsidRPr="007816F3" w:rsidRDefault="009057D1" w:rsidP="004215F5">
      <w:pPr>
        <w:pStyle w:val="Textoindependiente"/>
        <w:spacing w:after="0"/>
        <w:jc w:val="both"/>
        <w:rPr>
          <w:rFonts w:ascii="Arial" w:hAnsi="Arial" w:cs="Arial"/>
        </w:rPr>
      </w:pPr>
    </w:p>
    <w:p w14:paraId="5E51FE41" w14:textId="77777777" w:rsidR="009057D1" w:rsidRPr="007816F3" w:rsidRDefault="009057D1" w:rsidP="004215F5">
      <w:pPr>
        <w:pStyle w:val="Textoindependiente"/>
        <w:spacing w:after="0"/>
        <w:jc w:val="both"/>
        <w:rPr>
          <w:rFonts w:ascii="Arial" w:hAnsi="Arial" w:cs="Arial"/>
        </w:rPr>
      </w:pPr>
      <w:r w:rsidRPr="007816F3">
        <w:rPr>
          <w:rFonts w:ascii="Arial" w:hAnsi="Arial" w:cs="Arial"/>
          <w:b/>
          <w:bCs/>
        </w:rPr>
        <w:t>QUINTO.</w:t>
      </w:r>
      <w:r w:rsidRPr="007816F3">
        <w:rPr>
          <w:rFonts w:ascii="Arial" w:hAnsi="Arial" w:cs="Arial"/>
        </w:rPr>
        <w:t xml:space="preserve"> </w:t>
      </w:r>
      <w:proofErr w:type="gramStart"/>
      <w:r w:rsidRPr="007816F3">
        <w:rPr>
          <w:rFonts w:ascii="Arial" w:hAnsi="Arial" w:cs="Arial"/>
        </w:rPr>
        <w:t>Que</w:t>
      </w:r>
      <w:proofErr w:type="gramEnd"/>
      <w:r w:rsidRPr="007816F3">
        <w:rPr>
          <w:rFonts w:ascii="Arial" w:hAnsi="Arial" w:cs="Arial"/>
        </w:rPr>
        <w:t xml:space="preserve"> de acuerdo con las últimas proyecciones de las perspectivas de la economía mundial, publicadas por el Fondo Monetario Internacional (FMI), muestran un crecimiento sostenido para el cierre de 2024 y durante el 2025 del 3.3%, es decir, al mismo ritmo que se tuvo en 2023, con una ligera aceleración en las economías avanzadas, lo cual nos refleja una lenta recuperación de la economía mundial. No </w:t>
      </w:r>
      <w:r w:rsidRPr="007816F3">
        <w:rPr>
          <w:rFonts w:ascii="Arial" w:hAnsi="Arial" w:cs="Arial"/>
        </w:rPr>
        <w:lastRenderedPageBreak/>
        <w:t>obstante, lo anterior, la inflación ha venido a la baja, proyectándose que para el 2024 este cerrando en 5.9% y para el ejercicio 2025 en 4.5 puntos porcentuales, considerando que al cierre del año 2023 se situó en 6.8%.</w:t>
      </w:r>
    </w:p>
    <w:p w14:paraId="0A93F50F" w14:textId="77777777" w:rsidR="009057D1" w:rsidRPr="007816F3" w:rsidRDefault="009057D1" w:rsidP="004215F5">
      <w:pPr>
        <w:pStyle w:val="Textoindependiente"/>
        <w:spacing w:after="0"/>
        <w:jc w:val="both"/>
        <w:rPr>
          <w:rFonts w:ascii="Arial" w:hAnsi="Arial" w:cs="Arial"/>
        </w:rPr>
      </w:pPr>
    </w:p>
    <w:p w14:paraId="692CF413" w14:textId="77777777" w:rsidR="009057D1" w:rsidRPr="007816F3" w:rsidRDefault="009057D1" w:rsidP="004215F5">
      <w:pPr>
        <w:pStyle w:val="Textoindependiente"/>
        <w:spacing w:after="0"/>
        <w:jc w:val="both"/>
        <w:rPr>
          <w:rFonts w:ascii="Arial" w:hAnsi="Arial" w:cs="Arial"/>
        </w:rPr>
      </w:pPr>
      <w:r w:rsidRPr="007816F3">
        <w:rPr>
          <w:rFonts w:ascii="Arial" w:hAnsi="Arial" w:cs="Arial"/>
          <w:b/>
          <w:bCs/>
        </w:rPr>
        <w:t>SEXTO.</w:t>
      </w:r>
      <w:r w:rsidRPr="007816F3">
        <w:rPr>
          <w:rFonts w:ascii="Arial" w:hAnsi="Arial" w:cs="Arial"/>
        </w:rPr>
        <w:t xml:space="preserve"> </w:t>
      </w:r>
      <w:proofErr w:type="gramStart"/>
      <w:r w:rsidRPr="007816F3">
        <w:rPr>
          <w:rFonts w:ascii="Arial" w:hAnsi="Arial" w:cs="Arial"/>
        </w:rPr>
        <w:t>Que</w:t>
      </w:r>
      <w:proofErr w:type="gramEnd"/>
      <w:r w:rsidRPr="007816F3">
        <w:rPr>
          <w:rFonts w:ascii="Arial" w:hAnsi="Arial" w:cs="Arial"/>
        </w:rPr>
        <w:t xml:space="preserve"> en el caso de México, la perspectiva de crecimiento es conservadora, los Criterios Generales de Política Económica del Proyecto de Presupuesto de Egresos para el Ejercicio Fiscal 2025, de la Secretaría de Hacienda y Crédito Público, prevé que el crecimiento de la economía Mexicana, al cierre del 2024, estará dentro del rango de 2.5 y 3.5 por ciento anual, mientras que para 2025 se situará entre 2 y 3% anual.</w:t>
      </w:r>
    </w:p>
    <w:p w14:paraId="7C9C5C82" w14:textId="77777777" w:rsidR="009057D1" w:rsidRPr="007816F3" w:rsidRDefault="009057D1" w:rsidP="004215F5">
      <w:pPr>
        <w:pStyle w:val="Textoindependiente"/>
        <w:spacing w:after="0"/>
        <w:jc w:val="both"/>
        <w:rPr>
          <w:rFonts w:ascii="Arial" w:hAnsi="Arial" w:cs="Arial"/>
        </w:rPr>
      </w:pPr>
    </w:p>
    <w:p w14:paraId="1595DEBD" w14:textId="77777777" w:rsidR="009057D1" w:rsidRPr="007816F3" w:rsidRDefault="009057D1" w:rsidP="004215F5">
      <w:pPr>
        <w:pStyle w:val="Textoindependiente"/>
        <w:spacing w:after="0"/>
        <w:jc w:val="both"/>
        <w:rPr>
          <w:rFonts w:ascii="Arial" w:hAnsi="Arial" w:cs="Arial"/>
        </w:rPr>
      </w:pPr>
      <w:r w:rsidRPr="007816F3">
        <w:rPr>
          <w:rFonts w:ascii="Arial" w:hAnsi="Arial" w:cs="Arial"/>
          <w:b/>
        </w:rPr>
        <w:t>SÉPTIMO</w:t>
      </w:r>
      <w:r w:rsidRPr="007816F3">
        <w:rPr>
          <w:rFonts w:ascii="Arial" w:hAnsi="Arial" w:cs="Arial"/>
        </w:rPr>
        <w:t>.</w:t>
      </w:r>
      <w:r w:rsidRPr="007816F3">
        <w:rPr>
          <w:rFonts w:ascii="Arial" w:hAnsi="Arial" w:cs="Arial"/>
          <w:spacing w:val="-4"/>
        </w:rPr>
        <w:t xml:space="preserve"> </w:t>
      </w:r>
      <w:r w:rsidRPr="007816F3">
        <w:rPr>
          <w:rFonts w:ascii="Arial" w:hAnsi="Arial" w:cs="Arial"/>
        </w:rPr>
        <w:t>De</w:t>
      </w:r>
      <w:r w:rsidRPr="007816F3">
        <w:rPr>
          <w:rFonts w:ascii="Arial" w:hAnsi="Arial" w:cs="Arial"/>
          <w:spacing w:val="-3"/>
        </w:rPr>
        <w:t xml:space="preserve"> </w:t>
      </w:r>
      <w:r w:rsidRPr="007816F3">
        <w:rPr>
          <w:rFonts w:ascii="Arial" w:hAnsi="Arial" w:cs="Arial"/>
        </w:rPr>
        <w:t>acuerdo</w:t>
      </w:r>
      <w:r w:rsidRPr="007816F3">
        <w:rPr>
          <w:rFonts w:ascii="Arial" w:hAnsi="Arial" w:cs="Arial"/>
          <w:spacing w:val="-6"/>
        </w:rPr>
        <w:t xml:space="preserve"> </w:t>
      </w:r>
      <w:r w:rsidRPr="007816F3">
        <w:rPr>
          <w:rFonts w:ascii="Arial" w:hAnsi="Arial" w:cs="Arial"/>
        </w:rPr>
        <w:t>con cifras del Instituto Nacional de Estadística y Geografía e Informática (INEGI), en el segundo trimestre de 2024, la población económicamente activa de México fue de 61 millones de personas. Por otra parte, la Secretaría de Economía, informa que “la fuerza laboral ocupada alcanzó las 53.9 millones personas (40.9% mujeres y 59.1% hombres) con un salario promedio mensual de $6,150 pesos”, lo cual ha sido reflejo para mantener la economía estable a pesar de los factores económicos externos, manteniendo estabilidad recaudatoria, inclusive incrementando la misma en un 5.5%, durante el primer cuatrimestre de 2024.</w:t>
      </w:r>
    </w:p>
    <w:p w14:paraId="318EC7B6" w14:textId="77777777" w:rsidR="009057D1" w:rsidRPr="007816F3" w:rsidRDefault="009057D1" w:rsidP="004215F5">
      <w:pPr>
        <w:pStyle w:val="Textoindependiente"/>
        <w:spacing w:after="0"/>
        <w:jc w:val="both"/>
        <w:rPr>
          <w:rFonts w:ascii="Arial" w:hAnsi="Arial" w:cs="Arial"/>
          <w:b/>
        </w:rPr>
      </w:pPr>
    </w:p>
    <w:p w14:paraId="4D905CCB" w14:textId="77777777" w:rsidR="009057D1" w:rsidRPr="007816F3" w:rsidRDefault="009057D1" w:rsidP="004215F5">
      <w:pPr>
        <w:pStyle w:val="Textoindependiente"/>
        <w:spacing w:after="0"/>
        <w:jc w:val="both"/>
        <w:rPr>
          <w:rFonts w:ascii="Arial" w:hAnsi="Arial" w:cs="Arial"/>
        </w:rPr>
      </w:pPr>
      <w:r w:rsidRPr="007816F3">
        <w:rPr>
          <w:rFonts w:ascii="Arial" w:hAnsi="Arial" w:cs="Arial"/>
          <w:b/>
        </w:rPr>
        <w:t xml:space="preserve">OCTAVO. </w:t>
      </w:r>
      <w:r w:rsidRPr="007816F3">
        <w:rPr>
          <w:rFonts w:ascii="Arial" w:hAnsi="Arial" w:cs="Arial"/>
        </w:rPr>
        <w:t xml:space="preserve">Que </w:t>
      </w:r>
      <w:r w:rsidRPr="007816F3">
        <w:rPr>
          <w:rFonts w:ascii="Arial" w:eastAsia="Graphik Regular" w:hAnsi="Arial" w:cs="Arial"/>
          <w:color w:val="000000"/>
        </w:rPr>
        <w:t xml:space="preserve">el panorama económico para el estado es favorable, puesto que, </w:t>
      </w:r>
      <w:r w:rsidRPr="007816F3">
        <w:rPr>
          <w:rFonts w:ascii="Arial" w:hAnsi="Arial" w:cs="Arial"/>
        </w:rPr>
        <w:t>en la actual administración se ha recibido una inversión privada por 84 mil 112 millones de pesos, lo cual impacta en la creación de 122 mil 307 empleos directos e indirectos, lo cual habla de que Hidalgo es un polo de desarrollo nacional que permite el afianzamiento de proyectos de inversión, fortaleciendo diversos sectores productivos. Estas acciones, han permitido reducir la tasa de desempleo a un 2.44%, con una población activa de 1.48 millones de personas con un salario promedio mensual de $5,370 pesos, de acuerdo con cifras de la Secretaría de Economía.</w:t>
      </w:r>
    </w:p>
    <w:p w14:paraId="3644C31F" w14:textId="77777777" w:rsidR="009057D1" w:rsidRPr="007816F3" w:rsidRDefault="009057D1" w:rsidP="004215F5">
      <w:pPr>
        <w:pStyle w:val="Textoindependiente"/>
        <w:spacing w:after="0"/>
        <w:jc w:val="both"/>
        <w:rPr>
          <w:rFonts w:ascii="Arial" w:hAnsi="Arial" w:cs="Arial"/>
        </w:rPr>
      </w:pPr>
    </w:p>
    <w:p w14:paraId="06FE3AE8" w14:textId="77777777" w:rsidR="009057D1" w:rsidRPr="007816F3" w:rsidRDefault="009057D1" w:rsidP="004215F5">
      <w:pPr>
        <w:pStyle w:val="Textoindependiente"/>
        <w:spacing w:after="0"/>
        <w:jc w:val="both"/>
        <w:rPr>
          <w:rFonts w:ascii="Arial" w:hAnsi="Arial" w:cs="Arial"/>
        </w:rPr>
      </w:pPr>
      <w:r w:rsidRPr="007816F3">
        <w:rPr>
          <w:rFonts w:ascii="Arial" w:hAnsi="Arial" w:cs="Arial"/>
          <w:b/>
        </w:rPr>
        <w:t xml:space="preserve">NOVENO. </w:t>
      </w:r>
      <w:r w:rsidRPr="007816F3">
        <w:rPr>
          <w:rFonts w:ascii="Arial" w:hAnsi="Arial" w:cs="Arial"/>
        </w:rPr>
        <w:t>Que el Estado de Hidalgo, tiene condiciones financieras sostenibles,</w:t>
      </w:r>
      <w:r w:rsidRPr="007816F3">
        <w:rPr>
          <w:rFonts w:ascii="Arial" w:hAnsi="Arial" w:cs="Arial"/>
          <w:spacing w:val="1"/>
        </w:rPr>
        <w:t xml:space="preserve"> ya que </w:t>
      </w:r>
      <w:r w:rsidRPr="007816F3">
        <w:rPr>
          <w:rFonts w:ascii="Arial" w:hAnsi="Arial" w:cs="Arial"/>
        </w:rPr>
        <w:t xml:space="preserve">importantes calificadoras nacionales e internacionales incrementaron la calificación crediticia para la entidad. En el mes de abril la agencia nacional </w:t>
      </w:r>
      <w:proofErr w:type="spellStart"/>
      <w:r w:rsidRPr="007816F3">
        <w:rPr>
          <w:rFonts w:ascii="Arial" w:hAnsi="Arial" w:cs="Arial"/>
        </w:rPr>
        <w:t>HR</w:t>
      </w:r>
      <w:proofErr w:type="spellEnd"/>
      <w:r w:rsidRPr="007816F3">
        <w:rPr>
          <w:rFonts w:ascii="Arial" w:hAnsi="Arial" w:cs="Arial"/>
        </w:rPr>
        <w:t xml:space="preserve"> Ratings aumentó la calificación de </w:t>
      </w:r>
      <w:proofErr w:type="spellStart"/>
      <w:r w:rsidRPr="007816F3">
        <w:rPr>
          <w:rFonts w:ascii="Arial" w:hAnsi="Arial" w:cs="Arial"/>
        </w:rPr>
        <w:t>HR</w:t>
      </w:r>
      <w:proofErr w:type="spellEnd"/>
      <w:r w:rsidRPr="007816F3">
        <w:rPr>
          <w:rFonts w:ascii="Arial" w:hAnsi="Arial" w:cs="Arial"/>
        </w:rPr>
        <w:t xml:space="preserve"> AA en 2023 a </w:t>
      </w:r>
      <w:proofErr w:type="spellStart"/>
      <w:r w:rsidRPr="007816F3">
        <w:rPr>
          <w:rFonts w:ascii="Arial" w:hAnsi="Arial" w:cs="Arial"/>
        </w:rPr>
        <w:t>HR</w:t>
      </w:r>
      <w:proofErr w:type="spellEnd"/>
      <w:r w:rsidRPr="007816F3">
        <w:rPr>
          <w:rFonts w:ascii="Arial" w:hAnsi="Arial" w:cs="Arial"/>
        </w:rPr>
        <w:t xml:space="preserve"> AA+ en 2024, con una perspectiva estable. Este incremento se fundamenta en el bajo nivel de endeudamiento observado y proyectado para los próximos años, el elevado nivel de liquidez en línea con un crecimiento en las participaciones federales y la implementación de políticas públicas que fortalecen la relación con los contribuyentes, así como una adecuada transparencia y comunicación.</w:t>
      </w:r>
    </w:p>
    <w:p w14:paraId="62268410" w14:textId="77777777" w:rsidR="009057D1" w:rsidRPr="007816F3" w:rsidRDefault="009057D1" w:rsidP="004215F5">
      <w:pPr>
        <w:pStyle w:val="Textoindependiente"/>
        <w:spacing w:after="0"/>
        <w:jc w:val="both"/>
        <w:rPr>
          <w:rFonts w:ascii="Arial" w:hAnsi="Arial" w:cs="Arial"/>
          <w:spacing w:val="1"/>
        </w:rPr>
      </w:pPr>
    </w:p>
    <w:p w14:paraId="7AA532F9" w14:textId="77777777" w:rsidR="009057D1" w:rsidRPr="007816F3" w:rsidRDefault="009057D1" w:rsidP="004215F5">
      <w:pPr>
        <w:pStyle w:val="Textoindependiente"/>
        <w:spacing w:after="0"/>
        <w:jc w:val="both"/>
        <w:rPr>
          <w:rFonts w:ascii="Arial" w:hAnsi="Arial" w:cs="Arial"/>
        </w:rPr>
      </w:pPr>
      <w:r w:rsidRPr="007816F3">
        <w:rPr>
          <w:rFonts w:ascii="Arial" w:hAnsi="Arial" w:cs="Arial"/>
          <w:spacing w:val="1"/>
        </w:rPr>
        <w:t xml:space="preserve">Del mismo modo, </w:t>
      </w:r>
      <w:r w:rsidRPr="007816F3">
        <w:rPr>
          <w:rFonts w:ascii="Arial" w:hAnsi="Arial" w:cs="Arial"/>
        </w:rPr>
        <w:t xml:space="preserve">la agencia internacional Fitch Ratings elevó la calificación a </w:t>
      </w:r>
      <w:proofErr w:type="gramStart"/>
      <w:r w:rsidRPr="007816F3">
        <w:rPr>
          <w:rFonts w:ascii="Arial" w:hAnsi="Arial" w:cs="Arial"/>
        </w:rPr>
        <w:t>AA(</w:t>
      </w:r>
      <w:proofErr w:type="spellStart"/>
      <w:proofErr w:type="gramEnd"/>
      <w:r w:rsidRPr="007816F3">
        <w:rPr>
          <w:rFonts w:ascii="Arial" w:hAnsi="Arial" w:cs="Arial"/>
        </w:rPr>
        <w:t>mex</w:t>
      </w:r>
      <w:proofErr w:type="spellEnd"/>
      <w:r w:rsidRPr="007816F3">
        <w:rPr>
          <w:rFonts w:ascii="Arial" w:hAnsi="Arial" w:cs="Arial"/>
        </w:rPr>
        <w:t>) desde AA-(</w:t>
      </w:r>
      <w:proofErr w:type="spellStart"/>
      <w:r w:rsidRPr="007816F3">
        <w:rPr>
          <w:rFonts w:ascii="Arial" w:hAnsi="Arial" w:cs="Arial"/>
        </w:rPr>
        <w:t>mex</w:t>
      </w:r>
      <w:proofErr w:type="spellEnd"/>
      <w:r w:rsidRPr="007816F3">
        <w:rPr>
          <w:rFonts w:ascii="Arial" w:hAnsi="Arial" w:cs="Arial"/>
        </w:rPr>
        <w:t>), también con una perspectiva estable, en el mes de mayo. Lo anterior, por la implementación de políticas de contención del gasto, incremento en los ingresos de libre disposición y una mejora de la posición financiera de la entidad.</w:t>
      </w:r>
    </w:p>
    <w:p w14:paraId="2EA18081" w14:textId="77777777" w:rsidR="009057D1" w:rsidRPr="007816F3" w:rsidRDefault="009057D1" w:rsidP="004215F5">
      <w:pPr>
        <w:pStyle w:val="Textoindependiente"/>
        <w:spacing w:after="0"/>
        <w:jc w:val="both"/>
        <w:rPr>
          <w:rFonts w:ascii="Arial" w:hAnsi="Arial" w:cs="Arial"/>
        </w:rPr>
      </w:pPr>
    </w:p>
    <w:p w14:paraId="04CBAD0F" w14:textId="77777777" w:rsidR="009057D1" w:rsidRPr="007816F3" w:rsidRDefault="009057D1" w:rsidP="004215F5">
      <w:pPr>
        <w:pStyle w:val="Textoindependiente"/>
        <w:spacing w:after="0"/>
        <w:jc w:val="both"/>
        <w:rPr>
          <w:rFonts w:ascii="Arial" w:hAnsi="Arial" w:cs="Arial"/>
          <w:spacing w:val="1"/>
        </w:rPr>
      </w:pPr>
      <w:r w:rsidRPr="007816F3">
        <w:rPr>
          <w:rFonts w:ascii="Arial" w:hAnsi="Arial" w:cs="Arial"/>
          <w:spacing w:val="1"/>
        </w:rPr>
        <w:t>Por último, en el mes de julio, la calificadora internacional Moody’s mejoró, por segundo año consecutivo, la calificación de Hidalgo a AA-.</w:t>
      </w:r>
      <w:proofErr w:type="spellStart"/>
      <w:r w:rsidRPr="007816F3">
        <w:rPr>
          <w:rFonts w:ascii="Arial" w:hAnsi="Arial" w:cs="Arial"/>
          <w:spacing w:val="1"/>
        </w:rPr>
        <w:t>mx</w:t>
      </w:r>
      <w:proofErr w:type="spellEnd"/>
      <w:r w:rsidRPr="007816F3">
        <w:rPr>
          <w:rFonts w:ascii="Arial" w:hAnsi="Arial" w:cs="Arial"/>
          <w:spacing w:val="1"/>
        </w:rPr>
        <w:t xml:space="preserve"> desde A+.</w:t>
      </w:r>
      <w:proofErr w:type="spellStart"/>
      <w:r w:rsidRPr="007816F3">
        <w:rPr>
          <w:rFonts w:ascii="Arial" w:hAnsi="Arial" w:cs="Arial"/>
          <w:spacing w:val="1"/>
        </w:rPr>
        <w:t>mx</w:t>
      </w:r>
      <w:proofErr w:type="spellEnd"/>
      <w:r w:rsidRPr="007816F3">
        <w:rPr>
          <w:rFonts w:ascii="Arial" w:hAnsi="Arial" w:cs="Arial"/>
          <w:spacing w:val="1"/>
        </w:rPr>
        <w:t>, esta mejora refleja el fortalecimiento de la posición de liquidez, balances financieros positivos y una política fiscal proactiva que ha elevado el nivel de recaudación de ingresos propios.</w:t>
      </w:r>
    </w:p>
    <w:p w14:paraId="14BAC3E9" w14:textId="77777777" w:rsidR="009057D1" w:rsidRPr="007816F3" w:rsidRDefault="009057D1" w:rsidP="004215F5">
      <w:pPr>
        <w:pStyle w:val="Textoindependiente"/>
        <w:spacing w:after="0"/>
        <w:jc w:val="both"/>
        <w:rPr>
          <w:rFonts w:ascii="Arial" w:hAnsi="Arial" w:cs="Arial"/>
        </w:rPr>
      </w:pPr>
    </w:p>
    <w:p w14:paraId="5BFA829B" w14:textId="77777777" w:rsidR="009057D1" w:rsidRPr="007816F3" w:rsidRDefault="009057D1" w:rsidP="004215F5">
      <w:pPr>
        <w:pStyle w:val="Textoindependiente"/>
        <w:spacing w:after="0"/>
        <w:jc w:val="both"/>
        <w:rPr>
          <w:rFonts w:ascii="Arial" w:hAnsi="Arial" w:cs="Arial"/>
        </w:rPr>
      </w:pPr>
      <w:r w:rsidRPr="007816F3">
        <w:rPr>
          <w:rFonts w:ascii="Arial" w:hAnsi="Arial" w:cs="Arial"/>
          <w:b/>
        </w:rPr>
        <w:t xml:space="preserve">DÉCIMO. </w:t>
      </w:r>
      <w:r w:rsidRPr="007816F3">
        <w:rPr>
          <w:rFonts w:ascii="Arial" w:hAnsi="Arial" w:cs="Arial"/>
        </w:rPr>
        <w:t>Que</w:t>
      </w:r>
      <w:r w:rsidRPr="007816F3">
        <w:rPr>
          <w:rFonts w:ascii="Arial" w:hAnsi="Arial" w:cs="Arial"/>
          <w:spacing w:val="-2"/>
        </w:rPr>
        <w:t xml:space="preserve"> </w:t>
      </w:r>
      <w:r w:rsidRPr="007816F3">
        <w:rPr>
          <w:rFonts w:ascii="Arial" w:hAnsi="Arial" w:cs="Arial"/>
        </w:rPr>
        <w:t>los</w:t>
      </w:r>
      <w:r w:rsidRPr="007816F3">
        <w:rPr>
          <w:rFonts w:ascii="Arial" w:hAnsi="Arial" w:cs="Arial"/>
          <w:spacing w:val="1"/>
        </w:rPr>
        <w:t xml:space="preserve"> </w:t>
      </w:r>
      <w:r w:rsidRPr="007816F3">
        <w:rPr>
          <w:rFonts w:ascii="Arial" w:hAnsi="Arial" w:cs="Arial"/>
        </w:rPr>
        <w:t>Objetivos</w:t>
      </w:r>
      <w:r w:rsidRPr="007816F3">
        <w:rPr>
          <w:rFonts w:ascii="Arial" w:hAnsi="Arial" w:cs="Arial"/>
          <w:spacing w:val="-1"/>
        </w:rPr>
        <w:t xml:space="preserve"> </w:t>
      </w:r>
      <w:r w:rsidRPr="007816F3">
        <w:rPr>
          <w:rFonts w:ascii="Arial" w:hAnsi="Arial" w:cs="Arial"/>
        </w:rPr>
        <w:t>de la</w:t>
      </w:r>
      <w:r w:rsidRPr="007816F3">
        <w:rPr>
          <w:rFonts w:ascii="Arial" w:hAnsi="Arial" w:cs="Arial"/>
          <w:spacing w:val="-2"/>
        </w:rPr>
        <w:t xml:space="preserve"> </w:t>
      </w:r>
      <w:r w:rsidRPr="007816F3">
        <w:rPr>
          <w:rFonts w:ascii="Arial" w:hAnsi="Arial" w:cs="Arial"/>
        </w:rPr>
        <w:t>política</w:t>
      </w:r>
      <w:r w:rsidRPr="007816F3">
        <w:rPr>
          <w:rFonts w:ascii="Arial" w:hAnsi="Arial" w:cs="Arial"/>
          <w:spacing w:val="-3"/>
        </w:rPr>
        <w:t xml:space="preserve"> </w:t>
      </w:r>
      <w:r w:rsidRPr="007816F3">
        <w:rPr>
          <w:rFonts w:ascii="Arial" w:hAnsi="Arial" w:cs="Arial"/>
        </w:rPr>
        <w:t>de</w:t>
      </w:r>
      <w:r w:rsidRPr="007816F3">
        <w:rPr>
          <w:rFonts w:ascii="Arial" w:hAnsi="Arial" w:cs="Arial"/>
          <w:spacing w:val="-4"/>
        </w:rPr>
        <w:t xml:space="preserve"> </w:t>
      </w:r>
      <w:r w:rsidRPr="007816F3">
        <w:rPr>
          <w:rFonts w:ascii="Arial" w:hAnsi="Arial" w:cs="Arial"/>
        </w:rPr>
        <w:t>ingresos son:</w:t>
      </w:r>
    </w:p>
    <w:p w14:paraId="347160A8" w14:textId="77777777" w:rsidR="009057D1" w:rsidRPr="007816F3" w:rsidRDefault="009057D1" w:rsidP="004215F5">
      <w:pPr>
        <w:pStyle w:val="Textoindependiente"/>
        <w:spacing w:after="0"/>
        <w:jc w:val="both"/>
        <w:rPr>
          <w:rFonts w:ascii="Arial" w:hAnsi="Arial" w:cs="Arial"/>
        </w:rPr>
      </w:pPr>
    </w:p>
    <w:p w14:paraId="7C95D988" w14:textId="77777777" w:rsidR="009057D1" w:rsidRPr="007816F3" w:rsidRDefault="009057D1" w:rsidP="004215F5">
      <w:pPr>
        <w:pStyle w:val="Textoindependiente"/>
        <w:widowControl w:val="0"/>
        <w:numPr>
          <w:ilvl w:val="0"/>
          <w:numId w:val="11"/>
        </w:numPr>
        <w:autoSpaceDE w:val="0"/>
        <w:autoSpaceDN w:val="0"/>
        <w:spacing w:after="0"/>
        <w:ind w:left="426" w:firstLine="0"/>
        <w:jc w:val="both"/>
        <w:rPr>
          <w:rFonts w:ascii="Arial" w:hAnsi="Arial" w:cs="Arial"/>
        </w:rPr>
      </w:pPr>
      <w:r w:rsidRPr="007816F3">
        <w:rPr>
          <w:rFonts w:ascii="Arial" w:hAnsi="Arial" w:cs="Arial"/>
        </w:rPr>
        <w:t>Propiciar una política corresponsable en la que las y los hidalguenses contribuyan para el gasto público, siendo compromiso del Gobierno del Estado, la aplicación justa y honesta de los recursos.</w:t>
      </w:r>
    </w:p>
    <w:p w14:paraId="1BC721B5" w14:textId="77777777" w:rsidR="009057D1" w:rsidRPr="007816F3" w:rsidRDefault="009057D1" w:rsidP="004215F5">
      <w:pPr>
        <w:pStyle w:val="Textoindependiente"/>
        <w:spacing w:after="0"/>
        <w:ind w:left="426"/>
        <w:jc w:val="both"/>
        <w:rPr>
          <w:rFonts w:ascii="Arial" w:hAnsi="Arial" w:cs="Arial"/>
        </w:rPr>
      </w:pPr>
    </w:p>
    <w:p w14:paraId="4164D46D" w14:textId="77777777" w:rsidR="009057D1" w:rsidRPr="007816F3" w:rsidRDefault="009057D1" w:rsidP="004215F5">
      <w:pPr>
        <w:pStyle w:val="Textoindependiente"/>
        <w:widowControl w:val="0"/>
        <w:numPr>
          <w:ilvl w:val="0"/>
          <w:numId w:val="11"/>
        </w:numPr>
        <w:autoSpaceDE w:val="0"/>
        <w:autoSpaceDN w:val="0"/>
        <w:spacing w:after="0"/>
        <w:ind w:left="426" w:firstLine="0"/>
        <w:jc w:val="both"/>
        <w:rPr>
          <w:rFonts w:ascii="Arial" w:hAnsi="Arial" w:cs="Arial"/>
        </w:rPr>
      </w:pPr>
      <w:r w:rsidRPr="007816F3">
        <w:rPr>
          <w:rFonts w:ascii="Arial" w:hAnsi="Arial" w:cs="Arial"/>
        </w:rPr>
        <w:t xml:space="preserve">Generar junto con los municipios las estrategias y mecanismos necesarios que permitan fortalecer la hacienda pública, a través de la recaudación del impuesto predial, </w:t>
      </w:r>
      <w:proofErr w:type="gramStart"/>
      <w:r w:rsidRPr="007816F3">
        <w:rPr>
          <w:rFonts w:ascii="Arial" w:hAnsi="Arial" w:cs="Arial"/>
        </w:rPr>
        <w:t>sirviendo</w:t>
      </w:r>
      <w:proofErr w:type="gramEnd"/>
      <w:r w:rsidRPr="007816F3">
        <w:rPr>
          <w:rFonts w:ascii="Arial" w:hAnsi="Arial" w:cs="Arial"/>
        </w:rPr>
        <w:t xml:space="preserve"> además, como un medio para incrementar las participaciones federales.</w:t>
      </w:r>
    </w:p>
    <w:p w14:paraId="543631DD" w14:textId="77777777" w:rsidR="009057D1" w:rsidRPr="007816F3" w:rsidRDefault="009057D1" w:rsidP="004215F5">
      <w:pPr>
        <w:pStyle w:val="Textoindependiente"/>
        <w:spacing w:after="0"/>
        <w:ind w:left="426"/>
        <w:jc w:val="both"/>
        <w:rPr>
          <w:rFonts w:ascii="Arial" w:hAnsi="Arial" w:cs="Arial"/>
        </w:rPr>
      </w:pPr>
    </w:p>
    <w:p w14:paraId="3E23C413" w14:textId="77777777" w:rsidR="009057D1" w:rsidRPr="007816F3" w:rsidRDefault="009057D1" w:rsidP="004215F5">
      <w:pPr>
        <w:pStyle w:val="Textoindependiente"/>
        <w:widowControl w:val="0"/>
        <w:numPr>
          <w:ilvl w:val="0"/>
          <w:numId w:val="11"/>
        </w:numPr>
        <w:autoSpaceDE w:val="0"/>
        <w:autoSpaceDN w:val="0"/>
        <w:spacing w:after="0"/>
        <w:ind w:left="426" w:firstLine="0"/>
        <w:jc w:val="both"/>
        <w:rPr>
          <w:rFonts w:ascii="Arial" w:hAnsi="Arial" w:cs="Arial"/>
        </w:rPr>
      </w:pPr>
      <w:r w:rsidRPr="007816F3">
        <w:rPr>
          <w:rFonts w:ascii="Arial" w:hAnsi="Arial" w:cs="Arial"/>
        </w:rPr>
        <w:t>Continuar con la estrategia de transitar a un gobierno digital, con el fortalecimiento de herramientas tecnológicas, mediante las cuales se facilite a las y los ciudadanos el cumplimiento de sus obligaciones fiscales, no siendo una limitante la distancia, reduciendo costos y tiempos.</w:t>
      </w:r>
    </w:p>
    <w:p w14:paraId="7D25F01B" w14:textId="77777777" w:rsidR="009057D1" w:rsidRPr="007816F3" w:rsidRDefault="009057D1" w:rsidP="004215F5">
      <w:pPr>
        <w:pStyle w:val="Prrafodelista"/>
        <w:ind w:left="426"/>
        <w:jc w:val="both"/>
        <w:rPr>
          <w:rFonts w:ascii="Arial" w:hAnsi="Arial" w:cs="Arial"/>
        </w:rPr>
      </w:pPr>
    </w:p>
    <w:p w14:paraId="33792888" w14:textId="77777777" w:rsidR="009057D1" w:rsidRPr="007816F3" w:rsidRDefault="009057D1" w:rsidP="004215F5">
      <w:pPr>
        <w:pStyle w:val="Textoindependiente"/>
        <w:widowControl w:val="0"/>
        <w:numPr>
          <w:ilvl w:val="0"/>
          <w:numId w:val="11"/>
        </w:numPr>
        <w:autoSpaceDE w:val="0"/>
        <w:autoSpaceDN w:val="0"/>
        <w:spacing w:after="0"/>
        <w:ind w:left="426" w:firstLine="0"/>
        <w:jc w:val="both"/>
        <w:rPr>
          <w:rFonts w:ascii="Arial" w:hAnsi="Arial" w:cs="Arial"/>
        </w:rPr>
      </w:pPr>
      <w:r w:rsidRPr="007816F3">
        <w:rPr>
          <w:rFonts w:ascii="Arial" w:hAnsi="Arial" w:cs="Arial"/>
        </w:rPr>
        <w:t>Integrar los conceptos de derechos necesarios para el fortalecimiento de la hacienda pública, correspondiendo en la aplicación eficiente de los recursos en proyectos estratégicos para el desarrollo de las y los hidalguenses.</w:t>
      </w:r>
    </w:p>
    <w:p w14:paraId="4A14B276" w14:textId="77777777" w:rsidR="009057D1" w:rsidRPr="007816F3" w:rsidRDefault="009057D1" w:rsidP="004215F5">
      <w:pPr>
        <w:pStyle w:val="Textoindependiente"/>
        <w:spacing w:after="0"/>
        <w:ind w:left="426"/>
        <w:jc w:val="both"/>
        <w:rPr>
          <w:rFonts w:ascii="Arial" w:hAnsi="Arial" w:cs="Arial"/>
        </w:rPr>
      </w:pPr>
    </w:p>
    <w:p w14:paraId="170F3688" w14:textId="77777777" w:rsidR="009057D1" w:rsidRPr="007816F3" w:rsidRDefault="009057D1" w:rsidP="004215F5">
      <w:pPr>
        <w:pStyle w:val="Textoindependiente"/>
        <w:widowControl w:val="0"/>
        <w:numPr>
          <w:ilvl w:val="0"/>
          <w:numId w:val="11"/>
        </w:numPr>
        <w:autoSpaceDE w:val="0"/>
        <w:autoSpaceDN w:val="0"/>
        <w:spacing w:after="0"/>
        <w:ind w:left="426" w:firstLine="0"/>
        <w:jc w:val="both"/>
        <w:rPr>
          <w:rFonts w:ascii="Arial" w:hAnsi="Arial" w:cs="Arial"/>
        </w:rPr>
      </w:pPr>
      <w:r w:rsidRPr="007816F3">
        <w:rPr>
          <w:rFonts w:ascii="Arial" w:hAnsi="Arial" w:cs="Arial"/>
        </w:rPr>
        <w:t>Mantener una presencia fiscal constante en la cual se combatan las acciones tendientes a la evasión y elusión fiscal, aplicando acciones de ejemplaridad que fortalezcan la hacienda pública.</w:t>
      </w:r>
    </w:p>
    <w:p w14:paraId="3DABB4D5" w14:textId="77777777" w:rsidR="009057D1" w:rsidRPr="007816F3" w:rsidRDefault="009057D1" w:rsidP="004215F5">
      <w:pPr>
        <w:pStyle w:val="Prrafodelista"/>
        <w:ind w:left="426"/>
        <w:jc w:val="both"/>
        <w:rPr>
          <w:rFonts w:ascii="Arial" w:hAnsi="Arial" w:cs="Arial"/>
        </w:rPr>
      </w:pPr>
    </w:p>
    <w:p w14:paraId="7F451668" w14:textId="77777777" w:rsidR="009057D1" w:rsidRPr="007816F3" w:rsidRDefault="009057D1" w:rsidP="004215F5">
      <w:pPr>
        <w:pStyle w:val="Textoindependiente"/>
        <w:widowControl w:val="0"/>
        <w:numPr>
          <w:ilvl w:val="0"/>
          <w:numId w:val="11"/>
        </w:numPr>
        <w:autoSpaceDE w:val="0"/>
        <w:autoSpaceDN w:val="0"/>
        <w:spacing w:after="0"/>
        <w:ind w:left="426" w:firstLine="0"/>
        <w:jc w:val="both"/>
        <w:rPr>
          <w:rFonts w:ascii="Arial" w:hAnsi="Arial" w:cs="Arial"/>
        </w:rPr>
      </w:pPr>
      <w:r w:rsidRPr="007816F3">
        <w:rPr>
          <w:rFonts w:ascii="Arial" w:hAnsi="Arial" w:cs="Arial"/>
        </w:rPr>
        <w:t>Fortalecer el marco jurídico fiscal, con el fin de alcanzar la eficiencia en el sistema recaudatorio.</w:t>
      </w:r>
    </w:p>
    <w:p w14:paraId="18799B7B" w14:textId="77777777" w:rsidR="009057D1" w:rsidRPr="007816F3" w:rsidRDefault="009057D1" w:rsidP="004215F5">
      <w:pPr>
        <w:pStyle w:val="Textoindependiente"/>
        <w:spacing w:after="0"/>
        <w:jc w:val="both"/>
        <w:rPr>
          <w:rFonts w:ascii="Arial" w:hAnsi="Arial" w:cs="Arial"/>
        </w:rPr>
      </w:pPr>
    </w:p>
    <w:p w14:paraId="381306AC" w14:textId="77777777" w:rsidR="009057D1" w:rsidRPr="007816F3" w:rsidRDefault="009057D1" w:rsidP="004215F5">
      <w:pPr>
        <w:pStyle w:val="Textoindependiente"/>
        <w:spacing w:after="0"/>
        <w:jc w:val="both"/>
        <w:rPr>
          <w:rFonts w:ascii="Arial" w:hAnsi="Arial" w:cs="Arial"/>
        </w:rPr>
      </w:pPr>
      <w:r w:rsidRPr="007816F3">
        <w:rPr>
          <w:rFonts w:ascii="Arial" w:hAnsi="Arial" w:cs="Arial"/>
          <w:b/>
        </w:rPr>
        <w:t xml:space="preserve">DÉCIMO PRIMERO. </w:t>
      </w:r>
      <w:r w:rsidRPr="007816F3">
        <w:rPr>
          <w:rFonts w:ascii="Arial" w:hAnsi="Arial" w:cs="Arial"/>
          <w:position w:val="1"/>
        </w:rPr>
        <w:t>Que los ingresos se componen de los Ingresos Propios y Transferencias</w:t>
      </w:r>
      <w:r w:rsidRPr="007816F3">
        <w:rPr>
          <w:rFonts w:ascii="Arial" w:hAnsi="Arial" w:cs="Arial"/>
          <w:spacing w:val="-64"/>
          <w:position w:val="1"/>
        </w:rPr>
        <w:t xml:space="preserve"> </w:t>
      </w:r>
      <w:r w:rsidRPr="007816F3">
        <w:rPr>
          <w:rFonts w:ascii="Arial" w:hAnsi="Arial" w:cs="Arial"/>
        </w:rPr>
        <w:t>Federales,</w:t>
      </w:r>
      <w:r w:rsidRPr="007816F3">
        <w:rPr>
          <w:rFonts w:ascii="Arial" w:hAnsi="Arial" w:cs="Arial"/>
          <w:spacing w:val="-2"/>
        </w:rPr>
        <w:t xml:space="preserve"> </w:t>
      </w:r>
      <w:r w:rsidRPr="007816F3">
        <w:rPr>
          <w:rFonts w:ascii="Arial" w:hAnsi="Arial" w:cs="Arial"/>
        </w:rPr>
        <w:t>identificando</w:t>
      </w:r>
      <w:r w:rsidRPr="007816F3">
        <w:rPr>
          <w:rFonts w:ascii="Arial" w:hAnsi="Arial" w:cs="Arial"/>
          <w:spacing w:val="-2"/>
        </w:rPr>
        <w:t xml:space="preserve"> </w:t>
      </w:r>
      <w:r w:rsidRPr="007816F3">
        <w:rPr>
          <w:rFonts w:ascii="Arial" w:hAnsi="Arial" w:cs="Arial"/>
        </w:rPr>
        <w:t>el</w:t>
      </w:r>
      <w:r w:rsidRPr="007816F3">
        <w:rPr>
          <w:rFonts w:ascii="Arial" w:hAnsi="Arial" w:cs="Arial"/>
          <w:spacing w:val="-4"/>
        </w:rPr>
        <w:t xml:space="preserve"> </w:t>
      </w:r>
      <w:r w:rsidRPr="007816F3">
        <w:rPr>
          <w:rFonts w:ascii="Arial" w:hAnsi="Arial" w:cs="Arial"/>
        </w:rPr>
        <w:t>resultado</w:t>
      </w:r>
      <w:r w:rsidRPr="007816F3">
        <w:rPr>
          <w:rFonts w:ascii="Arial" w:hAnsi="Arial" w:cs="Arial"/>
          <w:spacing w:val="-3"/>
        </w:rPr>
        <w:t xml:space="preserve"> </w:t>
      </w:r>
      <w:r w:rsidRPr="007816F3">
        <w:rPr>
          <w:rFonts w:ascii="Arial" w:hAnsi="Arial" w:cs="Arial"/>
        </w:rPr>
        <w:t>del</w:t>
      </w:r>
      <w:r w:rsidRPr="007816F3">
        <w:rPr>
          <w:rFonts w:ascii="Arial" w:hAnsi="Arial" w:cs="Arial"/>
          <w:spacing w:val="-5"/>
        </w:rPr>
        <w:t xml:space="preserve"> </w:t>
      </w:r>
      <w:r w:rsidRPr="007816F3">
        <w:rPr>
          <w:rFonts w:ascii="Arial" w:hAnsi="Arial" w:cs="Arial"/>
        </w:rPr>
        <w:t>año</w:t>
      </w:r>
      <w:r w:rsidRPr="007816F3">
        <w:rPr>
          <w:rFonts w:ascii="Arial" w:hAnsi="Arial" w:cs="Arial"/>
          <w:spacing w:val="-3"/>
        </w:rPr>
        <w:t xml:space="preserve"> </w:t>
      </w:r>
      <w:r w:rsidRPr="007816F3">
        <w:rPr>
          <w:rFonts w:ascii="Arial" w:hAnsi="Arial" w:cs="Arial"/>
        </w:rPr>
        <w:t>anterior</w:t>
      </w:r>
      <w:r w:rsidRPr="007816F3">
        <w:rPr>
          <w:rFonts w:ascii="Arial" w:hAnsi="Arial" w:cs="Arial"/>
          <w:spacing w:val="-2"/>
        </w:rPr>
        <w:t xml:space="preserve"> </w:t>
      </w:r>
      <w:r w:rsidRPr="007816F3">
        <w:rPr>
          <w:rFonts w:ascii="Arial" w:hAnsi="Arial" w:cs="Arial"/>
        </w:rPr>
        <w:t>con</w:t>
      </w:r>
      <w:r w:rsidRPr="007816F3">
        <w:rPr>
          <w:rFonts w:ascii="Arial" w:hAnsi="Arial" w:cs="Arial"/>
          <w:spacing w:val="-3"/>
        </w:rPr>
        <w:t xml:space="preserve"> </w:t>
      </w:r>
      <w:r w:rsidRPr="007816F3">
        <w:rPr>
          <w:rFonts w:ascii="Arial" w:hAnsi="Arial" w:cs="Arial"/>
        </w:rPr>
        <w:t>su</w:t>
      </w:r>
      <w:r w:rsidRPr="007816F3">
        <w:rPr>
          <w:rFonts w:ascii="Arial" w:hAnsi="Arial" w:cs="Arial"/>
          <w:spacing w:val="-3"/>
        </w:rPr>
        <w:t xml:space="preserve"> </w:t>
      </w:r>
      <w:r w:rsidRPr="007816F3">
        <w:rPr>
          <w:rFonts w:ascii="Arial" w:hAnsi="Arial" w:cs="Arial"/>
        </w:rPr>
        <w:t>comparativo</w:t>
      </w:r>
      <w:r w:rsidRPr="007816F3">
        <w:rPr>
          <w:rFonts w:ascii="Arial" w:hAnsi="Arial" w:cs="Arial"/>
          <w:spacing w:val="-3"/>
        </w:rPr>
        <w:t xml:space="preserve"> </w:t>
      </w:r>
      <w:r w:rsidRPr="007816F3">
        <w:rPr>
          <w:rFonts w:ascii="Arial" w:hAnsi="Arial" w:cs="Arial"/>
        </w:rPr>
        <w:t>estimado,</w:t>
      </w:r>
      <w:r w:rsidRPr="007816F3">
        <w:rPr>
          <w:rFonts w:ascii="Arial" w:hAnsi="Arial" w:cs="Arial"/>
          <w:spacing w:val="-65"/>
        </w:rPr>
        <w:t xml:space="preserve"> </w:t>
      </w:r>
      <w:r w:rsidRPr="007816F3">
        <w:rPr>
          <w:rFonts w:ascii="Arial" w:hAnsi="Arial" w:cs="Arial"/>
        </w:rPr>
        <w:t>recaudado</w:t>
      </w:r>
      <w:r w:rsidRPr="007816F3">
        <w:rPr>
          <w:rFonts w:ascii="Arial" w:hAnsi="Arial" w:cs="Arial"/>
          <w:spacing w:val="-3"/>
        </w:rPr>
        <w:t xml:space="preserve"> </w:t>
      </w:r>
      <w:r w:rsidRPr="007816F3">
        <w:rPr>
          <w:rFonts w:ascii="Arial" w:hAnsi="Arial" w:cs="Arial"/>
        </w:rPr>
        <w:t>en</w:t>
      </w:r>
      <w:r w:rsidRPr="007816F3">
        <w:rPr>
          <w:rFonts w:ascii="Arial" w:hAnsi="Arial" w:cs="Arial"/>
          <w:spacing w:val="-2"/>
        </w:rPr>
        <w:t xml:space="preserve"> </w:t>
      </w:r>
      <w:r w:rsidRPr="007816F3">
        <w:rPr>
          <w:rFonts w:ascii="Arial" w:hAnsi="Arial" w:cs="Arial"/>
        </w:rPr>
        <w:t>forma</w:t>
      </w:r>
      <w:r w:rsidRPr="007816F3">
        <w:rPr>
          <w:rFonts w:ascii="Arial" w:hAnsi="Arial" w:cs="Arial"/>
          <w:spacing w:val="-2"/>
        </w:rPr>
        <w:t xml:space="preserve"> </w:t>
      </w:r>
      <w:r w:rsidRPr="007816F3">
        <w:rPr>
          <w:rFonts w:ascii="Arial" w:hAnsi="Arial" w:cs="Arial"/>
        </w:rPr>
        <w:t>general,</w:t>
      </w:r>
      <w:r w:rsidRPr="007816F3">
        <w:rPr>
          <w:rFonts w:ascii="Arial" w:hAnsi="Arial" w:cs="Arial"/>
          <w:spacing w:val="-2"/>
        </w:rPr>
        <w:t xml:space="preserve"> </w:t>
      </w:r>
      <w:r w:rsidRPr="007816F3">
        <w:rPr>
          <w:rFonts w:ascii="Arial" w:hAnsi="Arial" w:cs="Arial"/>
        </w:rPr>
        <w:t>de</w:t>
      </w:r>
      <w:r w:rsidRPr="007816F3">
        <w:rPr>
          <w:rFonts w:ascii="Arial" w:hAnsi="Arial" w:cs="Arial"/>
          <w:spacing w:val="-2"/>
        </w:rPr>
        <w:t xml:space="preserve"> </w:t>
      </w:r>
      <w:r w:rsidRPr="007816F3">
        <w:rPr>
          <w:rFonts w:ascii="Arial" w:hAnsi="Arial" w:cs="Arial"/>
        </w:rPr>
        <w:t>acuerdo</w:t>
      </w:r>
      <w:r w:rsidRPr="007816F3">
        <w:rPr>
          <w:rFonts w:ascii="Arial" w:hAnsi="Arial" w:cs="Arial"/>
          <w:spacing w:val="-2"/>
        </w:rPr>
        <w:t xml:space="preserve"> </w:t>
      </w:r>
      <w:r w:rsidRPr="007816F3">
        <w:rPr>
          <w:rFonts w:ascii="Arial" w:hAnsi="Arial" w:cs="Arial"/>
        </w:rPr>
        <w:t>a la</w:t>
      </w:r>
      <w:r w:rsidRPr="007816F3">
        <w:rPr>
          <w:rFonts w:ascii="Arial" w:hAnsi="Arial" w:cs="Arial"/>
          <w:spacing w:val="-2"/>
        </w:rPr>
        <w:t xml:space="preserve"> </w:t>
      </w:r>
      <w:r w:rsidRPr="007816F3">
        <w:rPr>
          <w:rFonts w:ascii="Arial" w:hAnsi="Arial" w:cs="Arial"/>
        </w:rPr>
        <w:t>siguiente</w:t>
      </w:r>
      <w:r w:rsidRPr="007816F3">
        <w:rPr>
          <w:rFonts w:ascii="Arial" w:hAnsi="Arial" w:cs="Arial"/>
          <w:spacing w:val="1"/>
        </w:rPr>
        <w:t xml:space="preserve"> </w:t>
      </w:r>
      <w:r w:rsidRPr="007816F3">
        <w:rPr>
          <w:rFonts w:ascii="Arial" w:hAnsi="Arial" w:cs="Arial"/>
        </w:rPr>
        <w:t>tabla:</w:t>
      </w:r>
    </w:p>
    <w:p w14:paraId="076BB968" w14:textId="77777777" w:rsidR="00AB03C4" w:rsidRPr="004215F5" w:rsidRDefault="00AB03C4" w:rsidP="004215F5">
      <w:pPr>
        <w:pStyle w:val="Textoindependiente"/>
        <w:spacing w:after="0"/>
        <w:jc w:val="both"/>
        <w:rPr>
          <w:rFonts w:ascii="Arial" w:hAnsi="Arial" w:cs="Arial"/>
          <w:highlight w:val="yellow"/>
        </w:rPr>
      </w:pPr>
    </w:p>
    <w:tbl>
      <w:tblPr>
        <w:tblW w:w="4823" w:type="pct"/>
        <w:tblInd w:w="-5" w:type="dxa"/>
        <w:tblCellMar>
          <w:left w:w="70" w:type="dxa"/>
          <w:right w:w="70" w:type="dxa"/>
        </w:tblCellMar>
        <w:tblLook w:val="04A0" w:firstRow="1" w:lastRow="0" w:firstColumn="1" w:lastColumn="0" w:noHBand="0" w:noVBand="1"/>
      </w:tblPr>
      <w:tblGrid>
        <w:gridCol w:w="1841"/>
        <w:gridCol w:w="1842"/>
        <w:gridCol w:w="1964"/>
        <w:gridCol w:w="1753"/>
        <w:gridCol w:w="1661"/>
      </w:tblGrid>
      <w:tr w:rsidR="005E1205" w:rsidRPr="0048414D" w14:paraId="2ACB8735" w14:textId="77777777" w:rsidTr="00296B6A">
        <w:trPr>
          <w:trHeight w:val="20"/>
        </w:trPr>
        <w:tc>
          <w:tcPr>
            <w:tcW w:w="1049" w:type="pct"/>
            <w:vMerge w:val="restart"/>
            <w:tcBorders>
              <w:top w:val="single" w:sz="4" w:space="0" w:color="auto"/>
              <w:left w:val="single" w:sz="4" w:space="0" w:color="auto"/>
              <w:bottom w:val="single" w:sz="4" w:space="0" w:color="auto"/>
              <w:right w:val="single" w:sz="4" w:space="0" w:color="auto"/>
            </w:tcBorders>
            <w:shd w:val="clear" w:color="000000" w:fill="621532"/>
            <w:vAlign w:val="center"/>
            <w:hideMark/>
          </w:tcPr>
          <w:p w14:paraId="5F31075C" w14:textId="77777777" w:rsidR="005E1205" w:rsidRPr="0048414D" w:rsidRDefault="005E1205" w:rsidP="004215F5">
            <w:pPr>
              <w:ind w:right="278"/>
              <w:jc w:val="center"/>
              <w:rPr>
                <w:rFonts w:ascii="Arial" w:hAnsi="Arial" w:cs="Arial"/>
                <w:b/>
                <w:bCs/>
                <w:color w:val="FFFFFF"/>
                <w:sz w:val="16"/>
                <w:szCs w:val="16"/>
                <w:lang w:eastAsia="es-MX"/>
              </w:rPr>
            </w:pPr>
            <w:r w:rsidRPr="0048414D">
              <w:rPr>
                <w:rFonts w:ascii="Arial" w:hAnsi="Arial" w:cs="Arial"/>
                <w:b/>
                <w:bCs/>
                <w:color w:val="FFFFFF"/>
                <w:sz w:val="16"/>
                <w:szCs w:val="16"/>
                <w:lang w:eastAsia="es-MX"/>
              </w:rPr>
              <w:t>Proyecto</w:t>
            </w:r>
          </w:p>
        </w:tc>
        <w:tc>
          <w:tcPr>
            <w:tcW w:w="884" w:type="pct"/>
            <w:vMerge w:val="restart"/>
            <w:tcBorders>
              <w:top w:val="single" w:sz="4" w:space="0" w:color="auto"/>
              <w:left w:val="nil"/>
              <w:bottom w:val="nil"/>
              <w:right w:val="single" w:sz="4" w:space="0" w:color="auto"/>
            </w:tcBorders>
            <w:shd w:val="clear" w:color="000000" w:fill="621532"/>
            <w:vAlign w:val="center"/>
            <w:hideMark/>
          </w:tcPr>
          <w:p w14:paraId="76F442A3" w14:textId="77777777" w:rsidR="005E1205" w:rsidRPr="0048414D" w:rsidRDefault="005E1205" w:rsidP="004215F5">
            <w:pPr>
              <w:ind w:right="278"/>
              <w:jc w:val="center"/>
              <w:rPr>
                <w:rFonts w:ascii="Arial" w:hAnsi="Arial" w:cs="Arial"/>
                <w:b/>
                <w:bCs/>
                <w:color w:val="FFFFFF"/>
                <w:sz w:val="16"/>
                <w:szCs w:val="16"/>
                <w:lang w:eastAsia="es-MX"/>
              </w:rPr>
            </w:pPr>
            <w:r w:rsidRPr="0048414D">
              <w:rPr>
                <w:rFonts w:ascii="Arial" w:hAnsi="Arial" w:cs="Arial"/>
                <w:b/>
                <w:bCs/>
                <w:color w:val="FFFFFF"/>
                <w:sz w:val="16"/>
                <w:szCs w:val="16"/>
                <w:lang w:eastAsia="es-MX"/>
              </w:rPr>
              <w:t xml:space="preserve">Año </w:t>
            </w:r>
          </w:p>
          <w:p w14:paraId="13AD6ED7" w14:textId="77777777" w:rsidR="005E1205" w:rsidRPr="0048414D" w:rsidRDefault="005E1205" w:rsidP="004215F5">
            <w:pPr>
              <w:ind w:right="278"/>
              <w:jc w:val="center"/>
              <w:rPr>
                <w:rFonts w:ascii="Arial" w:hAnsi="Arial" w:cs="Arial"/>
                <w:b/>
                <w:bCs/>
                <w:color w:val="FFFFFF"/>
                <w:sz w:val="16"/>
                <w:szCs w:val="16"/>
                <w:lang w:eastAsia="es-MX"/>
              </w:rPr>
            </w:pPr>
            <w:r w:rsidRPr="0048414D">
              <w:rPr>
                <w:rFonts w:ascii="Arial" w:hAnsi="Arial" w:cs="Arial"/>
                <w:b/>
                <w:bCs/>
                <w:color w:val="FFFFFF"/>
                <w:sz w:val="16"/>
                <w:szCs w:val="16"/>
                <w:lang w:eastAsia="es-MX"/>
              </w:rPr>
              <w:t>202</w:t>
            </w:r>
            <w:r>
              <w:rPr>
                <w:rFonts w:ascii="Arial" w:hAnsi="Arial" w:cs="Arial"/>
                <w:b/>
                <w:bCs/>
                <w:color w:val="FFFFFF"/>
                <w:sz w:val="16"/>
                <w:szCs w:val="16"/>
                <w:lang w:eastAsia="es-MX"/>
              </w:rPr>
              <w:t>4</w:t>
            </w:r>
          </w:p>
          <w:p w14:paraId="7F81D8E3" w14:textId="77777777" w:rsidR="005E1205" w:rsidRPr="0048414D" w:rsidRDefault="005E1205" w:rsidP="004215F5">
            <w:pPr>
              <w:ind w:right="278"/>
              <w:jc w:val="center"/>
              <w:rPr>
                <w:rFonts w:ascii="Arial" w:hAnsi="Arial" w:cs="Arial"/>
                <w:b/>
                <w:bCs/>
                <w:color w:val="FFFFFF"/>
                <w:sz w:val="16"/>
                <w:szCs w:val="16"/>
                <w:lang w:eastAsia="es-MX"/>
              </w:rPr>
            </w:pPr>
            <w:r w:rsidRPr="0048414D">
              <w:rPr>
                <w:rFonts w:ascii="Arial" w:hAnsi="Arial" w:cs="Arial"/>
                <w:b/>
                <w:bCs/>
                <w:color w:val="FFFFFF"/>
                <w:sz w:val="16"/>
                <w:szCs w:val="16"/>
                <w:lang w:eastAsia="es-MX"/>
              </w:rPr>
              <w:t xml:space="preserve">($) </w:t>
            </w:r>
          </w:p>
        </w:tc>
        <w:tc>
          <w:tcPr>
            <w:tcW w:w="1117" w:type="pct"/>
            <w:vMerge w:val="restart"/>
            <w:tcBorders>
              <w:top w:val="single" w:sz="4" w:space="0" w:color="auto"/>
              <w:left w:val="nil"/>
              <w:bottom w:val="nil"/>
              <w:right w:val="single" w:sz="4" w:space="0" w:color="auto"/>
            </w:tcBorders>
            <w:shd w:val="clear" w:color="000000" w:fill="621532"/>
            <w:vAlign w:val="center"/>
            <w:hideMark/>
          </w:tcPr>
          <w:p w14:paraId="336A71CE" w14:textId="77777777" w:rsidR="005E1205" w:rsidRPr="0048414D" w:rsidRDefault="005E1205" w:rsidP="004215F5">
            <w:pPr>
              <w:ind w:right="278"/>
              <w:jc w:val="center"/>
              <w:rPr>
                <w:rFonts w:ascii="Arial" w:hAnsi="Arial" w:cs="Arial"/>
                <w:b/>
                <w:bCs/>
                <w:color w:val="FFFFFF"/>
                <w:sz w:val="16"/>
                <w:szCs w:val="16"/>
                <w:lang w:eastAsia="es-MX"/>
              </w:rPr>
            </w:pPr>
            <w:r w:rsidRPr="0048414D">
              <w:rPr>
                <w:rFonts w:ascii="Arial" w:hAnsi="Arial" w:cs="Arial"/>
                <w:b/>
                <w:bCs/>
                <w:color w:val="FFFFFF"/>
                <w:sz w:val="16"/>
                <w:szCs w:val="16"/>
                <w:lang w:eastAsia="es-MX"/>
              </w:rPr>
              <w:t xml:space="preserve">Año </w:t>
            </w:r>
          </w:p>
          <w:p w14:paraId="159CB0B3" w14:textId="77777777" w:rsidR="005E1205" w:rsidRPr="0048414D" w:rsidRDefault="005E1205" w:rsidP="004215F5">
            <w:pPr>
              <w:ind w:right="278"/>
              <w:jc w:val="center"/>
              <w:rPr>
                <w:rFonts w:ascii="Arial" w:hAnsi="Arial" w:cs="Arial"/>
                <w:b/>
                <w:bCs/>
                <w:color w:val="FFFFFF"/>
                <w:sz w:val="16"/>
                <w:szCs w:val="16"/>
                <w:lang w:eastAsia="es-MX"/>
              </w:rPr>
            </w:pPr>
            <w:r w:rsidRPr="0048414D">
              <w:rPr>
                <w:rFonts w:ascii="Arial" w:hAnsi="Arial" w:cs="Arial"/>
                <w:b/>
                <w:bCs/>
                <w:color w:val="FFFFFF"/>
                <w:sz w:val="16"/>
                <w:szCs w:val="16"/>
                <w:lang w:eastAsia="es-MX"/>
              </w:rPr>
              <w:t>202</w:t>
            </w:r>
            <w:r>
              <w:rPr>
                <w:rFonts w:ascii="Arial" w:hAnsi="Arial" w:cs="Arial"/>
                <w:b/>
                <w:bCs/>
                <w:color w:val="FFFFFF"/>
                <w:sz w:val="16"/>
                <w:szCs w:val="16"/>
                <w:lang w:eastAsia="es-MX"/>
              </w:rPr>
              <w:t>5</w:t>
            </w:r>
          </w:p>
          <w:p w14:paraId="373373BB" w14:textId="77777777" w:rsidR="005E1205" w:rsidRPr="0048414D" w:rsidRDefault="005E1205" w:rsidP="004215F5">
            <w:pPr>
              <w:ind w:right="278"/>
              <w:jc w:val="center"/>
              <w:rPr>
                <w:rFonts w:ascii="Arial" w:hAnsi="Arial" w:cs="Arial"/>
                <w:b/>
                <w:bCs/>
                <w:color w:val="FFFFFF"/>
                <w:sz w:val="16"/>
                <w:szCs w:val="16"/>
                <w:lang w:eastAsia="es-MX"/>
              </w:rPr>
            </w:pPr>
            <w:r w:rsidRPr="0048414D">
              <w:rPr>
                <w:rFonts w:ascii="Arial" w:hAnsi="Arial" w:cs="Arial"/>
                <w:b/>
                <w:bCs/>
                <w:color w:val="FFFFFF"/>
                <w:sz w:val="16"/>
                <w:szCs w:val="16"/>
                <w:lang w:eastAsia="es-MX"/>
              </w:rPr>
              <w:t>($)</w:t>
            </w:r>
          </w:p>
        </w:tc>
        <w:tc>
          <w:tcPr>
            <w:tcW w:w="1950" w:type="pct"/>
            <w:gridSpan w:val="2"/>
            <w:tcBorders>
              <w:top w:val="single" w:sz="4" w:space="0" w:color="auto"/>
              <w:left w:val="single" w:sz="4" w:space="0" w:color="auto"/>
              <w:bottom w:val="single" w:sz="4" w:space="0" w:color="auto"/>
              <w:right w:val="single" w:sz="4" w:space="0" w:color="auto"/>
            </w:tcBorders>
            <w:shd w:val="clear" w:color="000000" w:fill="621532"/>
            <w:vAlign w:val="center"/>
            <w:hideMark/>
          </w:tcPr>
          <w:p w14:paraId="4BEBA952" w14:textId="77777777" w:rsidR="005E1205" w:rsidRPr="0048414D" w:rsidRDefault="005E1205" w:rsidP="004215F5">
            <w:pPr>
              <w:ind w:right="278"/>
              <w:jc w:val="center"/>
              <w:rPr>
                <w:rFonts w:ascii="Arial" w:hAnsi="Arial" w:cs="Arial"/>
                <w:b/>
                <w:bCs/>
                <w:color w:val="FFFFFF"/>
                <w:sz w:val="16"/>
                <w:szCs w:val="16"/>
                <w:lang w:eastAsia="es-MX"/>
              </w:rPr>
            </w:pPr>
            <w:r w:rsidRPr="0048414D">
              <w:rPr>
                <w:rFonts w:ascii="Arial" w:hAnsi="Arial" w:cs="Arial"/>
                <w:b/>
                <w:bCs/>
                <w:color w:val="FFFFFF"/>
                <w:sz w:val="16"/>
                <w:szCs w:val="16"/>
                <w:lang w:eastAsia="es-MX"/>
              </w:rPr>
              <w:t>Variación</w:t>
            </w:r>
          </w:p>
        </w:tc>
      </w:tr>
      <w:tr w:rsidR="005E1205" w:rsidRPr="0048414D" w14:paraId="5DD0ED1B" w14:textId="77777777" w:rsidTr="00296B6A">
        <w:trPr>
          <w:trHeight w:val="20"/>
        </w:trPr>
        <w:tc>
          <w:tcPr>
            <w:tcW w:w="1049" w:type="pct"/>
            <w:vMerge/>
            <w:tcBorders>
              <w:top w:val="single" w:sz="4" w:space="0" w:color="auto"/>
              <w:left w:val="single" w:sz="4" w:space="0" w:color="auto"/>
              <w:bottom w:val="single" w:sz="4" w:space="0" w:color="auto"/>
              <w:right w:val="single" w:sz="4" w:space="0" w:color="auto"/>
            </w:tcBorders>
            <w:vAlign w:val="center"/>
            <w:hideMark/>
          </w:tcPr>
          <w:p w14:paraId="5D0EBC9E" w14:textId="77777777" w:rsidR="005E1205" w:rsidRPr="0048414D" w:rsidRDefault="005E1205" w:rsidP="004215F5">
            <w:pPr>
              <w:ind w:right="278"/>
              <w:rPr>
                <w:rFonts w:ascii="Arial" w:hAnsi="Arial" w:cs="Arial"/>
                <w:b/>
                <w:bCs/>
                <w:color w:val="FFFFFF"/>
                <w:sz w:val="16"/>
                <w:szCs w:val="16"/>
                <w:lang w:eastAsia="es-MX"/>
              </w:rPr>
            </w:pPr>
          </w:p>
        </w:tc>
        <w:tc>
          <w:tcPr>
            <w:tcW w:w="884" w:type="pct"/>
            <w:vMerge/>
            <w:tcBorders>
              <w:left w:val="nil"/>
              <w:bottom w:val="single" w:sz="4" w:space="0" w:color="auto"/>
              <w:right w:val="single" w:sz="4" w:space="0" w:color="auto"/>
            </w:tcBorders>
            <w:shd w:val="clear" w:color="000000" w:fill="621532"/>
            <w:vAlign w:val="center"/>
            <w:hideMark/>
          </w:tcPr>
          <w:p w14:paraId="1966D45D" w14:textId="77777777" w:rsidR="005E1205" w:rsidRPr="0048414D" w:rsidRDefault="005E1205" w:rsidP="004215F5">
            <w:pPr>
              <w:ind w:right="278"/>
              <w:jc w:val="center"/>
              <w:rPr>
                <w:rFonts w:ascii="Arial" w:hAnsi="Arial" w:cs="Arial"/>
                <w:b/>
                <w:bCs/>
                <w:color w:val="FFFFFF"/>
                <w:sz w:val="16"/>
                <w:szCs w:val="16"/>
                <w:lang w:eastAsia="es-MX"/>
              </w:rPr>
            </w:pPr>
          </w:p>
        </w:tc>
        <w:tc>
          <w:tcPr>
            <w:tcW w:w="1117" w:type="pct"/>
            <w:vMerge/>
            <w:tcBorders>
              <w:left w:val="nil"/>
              <w:bottom w:val="single" w:sz="4" w:space="0" w:color="auto"/>
              <w:right w:val="single" w:sz="4" w:space="0" w:color="auto"/>
            </w:tcBorders>
            <w:shd w:val="clear" w:color="000000" w:fill="621532"/>
            <w:vAlign w:val="center"/>
            <w:hideMark/>
          </w:tcPr>
          <w:p w14:paraId="18EDBAE5" w14:textId="77777777" w:rsidR="005E1205" w:rsidRPr="0048414D" w:rsidRDefault="005E1205" w:rsidP="004215F5">
            <w:pPr>
              <w:ind w:right="278"/>
              <w:jc w:val="center"/>
              <w:rPr>
                <w:rFonts w:ascii="Arial" w:hAnsi="Arial" w:cs="Arial"/>
                <w:b/>
                <w:bCs/>
                <w:color w:val="FFFFFF"/>
                <w:sz w:val="16"/>
                <w:szCs w:val="16"/>
                <w:lang w:eastAsia="es-MX"/>
              </w:rPr>
            </w:pPr>
          </w:p>
        </w:tc>
        <w:tc>
          <w:tcPr>
            <w:tcW w:w="997" w:type="pct"/>
            <w:tcBorders>
              <w:top w:val="nil"/>
              <w:left w:val="nil"/>
              <w:bottom w:val="single" w:sz="4" w:space="0" w:color="auto"/>
              <w:right w:val="single" w:sz="4" w:space="0" w:color="auto"/>
            </w:tcBorders>
            <w:shd w:val="clear" w:color="000000" w:fill="621532"/>
            <w:vAlign w:val="center"/>
            <w:hideMark/>
          </w:tcPr>
          <w:p w14:paraId="7327A520" w14:textId="77777777" w:rsidR="005E1205" w:rsidRPr="0048414D" w:rsidRDefault="005E1205" w:rsidP="004215F5">
            <w:pPr>
              <w:ind w:right="278"/>
              <w:jc w:val="center"/>
              <w:rPr>
                <w:rFonts w:ascii="Arial" w:hAnsi="Arial" w:cs="Arial"/>
                <w:b/>
                <w:bCs/>
                <w:color w:val="FFFFFF"/>
                <w:sz w:val="16"/>
                <w:szCs w:val="16"/>
                <w:lang w:eastAsia="es-MX"/>
              </w:rPr>
            </w:pPr>
            <w:r w:rsidRPr="0048414D">
              <w:rPr>
                <w:rFonts w:ascii="Arial" w:hAnsi="Arial" w:cs="Arial"/>
                <w:b/>
                <w:bCs/>
                <w:color w:val="FFFFFF"/>
                <w:sz w:val="16"/>
                <w:szCs w:val="16"/>
                <w:lang w:eastAsia="es-MX"/>
              </w:rPr>
              <w:t>($)</w:t>
            </w:r>
          </w:p>
        </w:tc>
        <w:tc>
          <w:tcPr>
            <w:tcW w:w="953" w:type="pct"/>
            <w:tcBorders>
              <w:top w:val="nil"/>
              <w:left w:val="nil"/>
              <w:bottom w:val="single" w:sz="4" w:space="0" w:color="auto"/>
              <w:right w:val="single" w:sz="4" w:space="0" w:color="auto"/>
            </w:tcBorders>
            <w:shd w:val="clear" w:color="000000" w:fill="621532"/>
            <w:vAlign w:val="center"/>
            <w:hideMark/>
          </w:tcPr>
          <w:p w14:paraId="52F6B6D5" w14:textId="77777777" w:rsidR="005E1205" w:rsidRPr="0048414D" w:rsidRDefault="005E1205" w:rsidP="004215F5">
            <w:pPr>
              <w:ind w:right="278"/>
              <w:jc w:val="center"/>
              <w:rPr>
                <w:rFonts w:ascii="Arial" w:hAnsi="Arial" w:cs="Arial"/>
                <w:b/>
                <w:bCs/>
                <w:color w:val="FFFFFF"/>
                <w:sz w:val="16"/>
                <w:szCs w:val="16"/>
                <w:lang w:eastAsia="es-MX"/>
              </w:rPr>
            </w:pPr>
            <w:r w:rsidRPr="0048414D">
              <w:rPr>
                <w:rFonts w:ascii="Arial" w:hAnsi="Arial" w:cs="Arial"/>
                <w:b/>
                <w:bCs/>
                <w:color w:val="FFFFFF"/>
                <w:sz w:val="16"/>
                <w:szCs w:val="16"/>
                <w:lang w:eastAsia="es-MX"/>
              </w:rPr>
              <w:t>(%)</w:t>
            </w:r>
          </w:p>
        </w:tc>
      </w:tr>
      <w:tr w:rsidR="005E1205" w:rsidRPr="0048414D" w14:paraId="30A4AD0D" w14:textId="77777777" w:rsidTr="00296B6A">
        <w:trPr>
          <w:trHeight w:val="498"/>
        </w:trPr>
        <w:tc>
          <w:tcPr>
            <w:tcW w:w="1049" w:type="pct"/>
            <w:tcBorders>
              <w:top w:val="nil"/>
              <w:left w:val="single" w:sz="4" w:space="0" w:color="auto"/>
              <w:bottom w:val="single" w:sz="4" w:space="0" w:color="auto"/>
              <w:right w:val="single" w:sz="4" w:space="0" w:color="auto"/>
            </w:tcBorders>
            <w:shd w:val="clear" w:color="auto" w:fill="auto"/>
            <w:vAlign w:val="center"/>
            <w:hideMark/>
          </w:tcPr>
          <w:p w14:paraId="33251BF2" w14:textId="77777777" w:rsidR="005E1205" w:rsidRPr="00A5777C" w:rsidRDefault="005E1205" w:rsidP="004215F5">
            <w:pPr>
              <w:ind w:right="278"/>
              <w:jc w:val="center"/>
              <w:rPr>
                <w:rFonts w:ascii="Arial" w:hAnsi="Arial" w:cs="Arial"/>
                <w:b/>
                <w:color w:val="000000"/>
                <w:sz w:val="16"/>
                <w:szCs w:val="16"/>
                <w:lang w:eastAsia="es-MX"/>
              </w:rPr>
            </w:pPr>
            <w:r w:rsidRPr="00A5777C">
              <w:rPr>
                <w:rFonts w:ascii="Arial" w:hAnsi="Arial" w:cs="Arial"/>
                <w:b/>
                <w:color w:val="000000"/>
                <w:sz w:val="16"/>
                <w:szCs w:val="16"/>
                <w:lang w:eastAsia="es-MX"/>
              </w:rPr>
              <w:t>Ingresos Propios</w:t>
            </w:r>
          </w:p>
        </w:tc>
        <w:tc>
          <w:tcPr>
            <w:tcW w:w="884" w:type="pct"/>
            <w:tcBorders>
              <w:top w:val="nil"/>
              <w:left w:val="nil"/>
              <w:bottom w:val="single" w:sz="4" w:space="0" w:color="auto"/>
              <w:right w:val="single" w:sz="4" w:space="0" w:color="auto"/>
            </w:tcBorders>
            <w:shd w:val="clear" w:color="auto" w:fill="auto"/>
            <w:vAlign w:val="center"/>
            <w:hideMark/>
          </w:tcPr>
          <w:p w14:paraId="31ADE569" w14:textId="77777777" w:rsidR="005E1205" w:rsidRPr="00A5777C" w:rsidRDefault="005E1205" w:rsidP="004215F5">
            <w:pPr>
              <w:ind w:right="278"/>
              <w:jc w:val="right"/>
              <w:rPr>
                <w:rFonts w:ascii="Arial" w:hAnsi="Arial" w:cs="Arial"/>
                <w:b/>
                <w:color w:val="000000"/>
                <w:sz w:val="16"/>
                <w:szCs w:val="16"/>
                <w:lang w:eastAsia="es-MX"/>
              </w:rPr>
            </w:pPr>
            <w:r w:rsidRPr="00A5777C">
              <w:rPr>
                <w:rFonts w:ascii="Arial" w:hAnsi="Arial" w:cs="Arial"/>
                <w:b/>
                <w:color w:val="000000"/>
                <w:sz w:val="16"/>
                <w:szCs w:val="16"/>
                <w:lang w:eastAsia="es-MX"/>
              </w:rPr>
              <w:t>$6,737,908,890.00</w:t>
            </w:r>
          </w:p>
        </w:tc>
        <w:tc>
          <w:tcPr>
            <w:tcW w:w="1117" w:type="pct"/>
            <w:tcBorders>
              <w:top w:val="nil"/>
              <w:left w:val="nil"/>
              <w:bottom w:val="single" w:sz="4" w:space="0" w:color="auto"/>
              <w:right w:val="single" w:sz="4" w:space="0" w:color="auto"/>
            </w:tcBorders>
            <w:shd w:val="clear" w:color="auto" w:fill="auto"/>
            <w:vAlign w:val="center"/>
            <w:hideMark/>
          </w:tcPr>
          <w:p w14:paraId="7746C675" w14:textId="77777777" w:rsidR="005E1205" w:rsidRPr="00A5777C" w:rsidRDefault="005E1205" w:rsidP="004215F5">
            <w:pPr>
              <w:ind w:right="278"/>
              <w:jc w:val="right"/>
              <w:rPr>
                <w:rFonts w:ascii="Arial" w:hAnsi="Arial" w:cs="Arial"/>
                <w:b/>
                <w:color w:val="000000"/>
                <w:sz w:val="16"/>
                <w:szCs w:val="16"/>
                <w:lang w:eastAsia="es-MX"/>
              </w:rPr>
            </w:pPr>
            <w:r w:rsidRPr="00A5777C">
              <w:rPr>
                <w:rFonts w:ascii="Arial" w:hAnsi="Arial" w:cs="Arial"/>
                <w:b/>
                <w:color w:val="000000"/>
                <w:sz w:val="16"/>
                <w:szCs w:val="16"/>
                <w:lang w:eastAsia="es-MX"/>
              </w:rPr>
              <w:t>$7,465,511,800.00</w:t>
            </w:r>
          </w:p>
        </w:tc>
        <w:tc>
          <w:tcPr>
            <w:tcW w:w="997" w:type="pct"/>
            <w:tcBorders>
              <w:top w:val="nil"/>
              <w:left w:val="nil"/>
              <w:bottom w:val="single" w:sz="4" w:space="0" w:color="auto"/>
              <w:right w:val="single" w:sz="4" w:space="0" w:color="auto"/>
            </w:tcBorders>
            <w:shd w:val="clear" w:color="auto" w:fill="auto"/>
            <w:vAlign w:val="center"/>
            <w:hideMark/>
          </w:tcPr>
          <w:p w14:paraId="7138641F" w14:textId="77777777" w:rsidR="005E1205" w:rsidRPr="00A5777C" w:rsidRDefault="005E1205" w:rsidP="004215F5">
            <w:pPr>
              <w:ind w:right="278"/>
              <w:jc w:val="right"/>
              <w:rPr>
                <w:rFonts w:ascii="Arial" w:hAnsi="Arial" w:cs="Arial"/>
                <w:b/>
                <w:color w:val="000000"/>
                <w:sz w:val="16"/>
                <w:szCs w:val="16"/>
                <w:lang w:eastAsia="es-MX"/>
              </w:rPr>
            </w:pPr>
            <w:r w:rsidRPr="00A5777C">
              <w:rPr>
                <w:rFonts w:ascii="Arial" w:hAnsi="Arial" w:cs="Arial"/>
                <w:b/>
                <w:color w:val="000000"/>
                <w:sz w:val="16"/>
                <w:szCs w:val="16"/>
                <w:lang w:eastAsia="es-MX"/>
              </w:rPr>
              <w:t>$727,602,910.00</w:t>
            </w:r>
          </w:p>
        </w:tc>
        <w:tc>
          <w:tcPr>
            <w:tcW w:w="953" w:type="pct"/>
            <w:tcBorders>
              <w:top w:val="nil"/>
              <w:left w:val="nil"/>
              <w:bottom w:val="single" w:sz="4" w:space="0" w:color="auto"/>
              <w:right w:val="single" w:sz="4" w:space="0" w:color="auto"/>
            </w:tcBorders>
            <w:shd w:val="clear" w:color="auto" w:fill="auto"/>
            <w:vAlign w:val="center"/>
            <w:hideMark/>
          </w:tcPr>
          <w:p w14:paraId="1B65EF93" w14:textId="77777777" w:rsidR="005E1205" w:rsidRPr="00A5777C" w:rsidRDefault="005E1205" w:rsidP="004215F5">
            <w:pPr>
              <w:ind w:right="278"/>
              <w:jc w:val="center"/>
              <w:rPr>
                <w:rFonts w:ascii="Arial" w:hAnsi="Arial" w:cs="Arial"/>
                <w:b/>
                <w:color w:val="000000"/>
                <w:sz w:val="16"/>
                <w:szCs w:val="16"/>
                <w:lang w:eastAsia="es-MX"/>
              </w:rPr>
            </w:pPr>
            <w:r w:rsidRPr="00A5777C">
              <w:rPr>
                <w:rFonts w:ascii="Arial" w:hAnsi="Arial" w:cs="Arial"/>
                <w:b/>
                <w:color w:val="000000"/>
                <w:sz w:val="16"/>
                <w:szCs w:val="16"/>
                <w:lang w:eastAsia="es-MX"/>
              </w:rPr>
              <w:t>10.79%</w:t>
            </w:r>
          </w:p>
        </w:tc>
      </w:tr>
      <w:tr w:rsidR="005E1205" w:rsidRPr="0048414D" w14:paraId="22C8F379" w14:textId="77777777" w:rsidTr="00296B6A">
        <w:trPr>
          <w:trHeight w:val="457"/>
        </w:trPr>
        <w:tc>
          <w:tcPr>
            <w:tcW w:w="1049" w:type="pct"/>
            <w:tcBorders>
              <w:top w:val="nil"/>
              <w:left w:val="single" w:sz="4" w:space="0" w:color="auto"/>
              <w:bottom w:val="single" w:sz="4" w:space="0" w:color="auto"/>
              <w:right w:val="single" w:sz="4" w:space="0" w:color="auto"/>
            </w:tcBorders>
            <w:shd w:val="clear" w:color="auto" w:fill="auto"/>
            <w:vAlign w:val="center"/>
            <w:hideMark/>
          </w:tcPr>
          <w:p w14:paraId="388F8C9D" w14:textId="77777777" w:rsidR="005E1205" w:rsidRPr="00A5777C" w:rsidRDefault="005E1205" w:rsidP="004215F5">
            <w:pPr>
              <w:ind w:right="278"/>
              <w:jc w:val="center"/>
              <w:rPr>
                <w:rFonts w:ascii="Arial" w:hAnsi="Arial" w:cs="Arial"/>
                <w:b/>
                <w:color w:val="000000"/>
                <w:sz w:val="16"/>
                <w:szCs w:val="16"/>
                <w:lang w:eastAsia="es-MX"/>
              </w:rPr>
            </w:pPr>
            <w:r w:rsidRPr="00A5777C">
              <w:rPr>
                <w:rFonts w:ascii="Arial" w:hAnsi="Arial" w:cs="Arial"/>
                <w:b/>
                <w:color w:val="000000"/>
                <w:sz w:val="16"/>
                <w:szCs w:val="16"/>
                <w:lang w:eastAsia="es-MX"/>
              </w:rPr>
              <w:t>Transferencias Federales</w:t>
            </w:r>
          </w:p>
        </w:tc>
        <w:tc>
          <w:tcPr>
            <w:tcW w:w="884" w:type="pct"/>
            <w:tcBorders>
              <w:top w:val="nil"/>
              <w:left w:val="nil"/>
              <w:bottom w:val="single" w:sz="4" w:space="0" w:color="auto"/>
              <w:right w:val="single" w:sz="4" w:space="0" w:color="auto"/>
            </w:tcBorders>
            <w:shd w:val="clear" w:color="auto" w:fill="auto"/>
            <w:vAlign w:val="center"/>
            <w:hideMark/>
          </w:tcPr>
          <w:p w14:paraId="7612220C" w14:textId="77777777" w:rsidR="005E1205" w:rsidRPr="00A5777C" w:rsidRDefault="005E1205" w:rsidP="004215F5">
            <w:pPr>
              <w:ind w:right="278"/>
              <w:jc w:val="right"/>
              <w:rPr>
                <w:rFonts w:ascii="Arial" w:hAnsi="Arial" w:cs="Arial"/>
                <w:b/>
                <w:color w:val="000000"/>
                <w:sz w:val="16"/>
                <w:szCs w:val="16"/>
                <w:lang w:eastAsia="es-MX"/>
              </w:rPr>
            </w:pPr>
            <w:r w:rsidRPr="00A5777C">
              <w:rPr>
                <w:rFonts w:ascii="Arial" w:hAnsi="Arial" w:cs="Arial"/>
                <w:b/>
                <w:color w:val="000000"/>
                <w:sz w:val="16"/>
                <w:szCs w:val="16"/>
                <w:lang w:eastAsia="es-MX"/>
              </w:rPr>
              <w:t>$61,344,392,013.00</w:t>
            </w:r>
          </w:p>
        </w:tc>
        <w:tc>
          <w:tcPr>
            <w:tcW w:w="1117" w:type="pct"/>
            <w:tcBorders>
              <w:top w:val="nil"/>
              <w:left w:val="nil"/>
              <w:bottom w:val="single" w:sz="4" w:space="0" w:color="auto"/>
              <w:right w:val="single" w:sz="4" w:space="0" w:color="auto"/>
            </w:tcBorders>
            <w:shd w:val="clear" w:color="auto" w:fill="auto"/>
            <w:vAlign w:val="center"/>
            <w:hideMark/>
          </w:tcPr>
          <w:p w14:paraId="30B11D59" w14:textId="77777777" w:rsidR="005E1205" w:rsidRPr="00A5777C" w:rsidRDefault="005E1205" w:rsidP="004215F5">
            <w:pPr>
              <w:ind w:right="278"/>
              <w:jc w:val="right"/>
              <w:rPr>
                <w:rFonts w:ascii="Arial" w:hAnsi="Arial" w:cs="Arial"/>
                <w:b/>
                <w:color w:val="000000"/>
                <w:sz w:val="16"/>
                <w:szCs w:val="16"/>
                <w:lang w:eastAsia="es-MX"/>
              </w:rPr>
            </w:pPr>
            <w:r w:rsidRPr="00A5777C">
              <w:rPr>
                <w:rFonts w:ascii="Arial" w:hAnsi="Arial" w:cs="Arial"/>
                <w:b/>
                <w:color w:val="000000"/>
                <w:sz w:val="16"/>
                <w:szCs w:val="16"/>
                <w:lang w:eastAsia="es-MX"/>
              </w:rPr>
              <w:t>$</w:t>
            </w:r>
            <w:r>
              <w:rPr>
                <w:rFonts w:ascii="Arial" w:hAnsi="Arial" w:cs="Arial"/>
                <w:b/>
                <w:color w:val="000000"/>
                <w:sz w:val="16"/>
                <w:szCs w:val="16"/>
                <w:lang w:eastAsia="es-MX"/>
              </w:rPr>
              <w:t>63,574,043,496</w:t>
            </w:r>
            <w:r w:rsidRPr="00A5777C">
              <w:rPr>
                <w:rFonts w:ascii="Arial" w:hAnsi="Arial" w:cs="Arial"/>
                <w:b/>
                <w:color w:val="000000"/>
                <w:sz w:val="16"/>
                <w:szCs w:val="16"/>
                <w:lang w:eastAsia="es-MX"/>
              </w:rPr>
              <w:t>.00</w:t>
            </w:r>
          </w:p>
        </w:tc>
        <w:tc>
          <w:tcPr>
            <w:tcW w:w="997" w:type="pct"/>
            <w:tcBorders>
              <w:top w:val="nil"/>
              <w:left w:val="nil"/>
              <w:bottom w:val="single" w:sz="4" w:space="0" w:color="auto"/>
              <w:right w:val="single" w:sz="4" w:space="0" w:color="auto"/>
            </w:tcBorders>
            <w:shd w:val="clear" w:color="auto" w:fill="auto"/>
            <w:vAlign w:val="center"/>
            <w:hideMark/>
          </w:tcPr>
          <w:p w14:paraId="15BFA3E5" w14:textId="77777777" w:rsidR="005E1205" w:rsidRPr="00A5777C" w:rsidRDefault="005E1205" w:rsidP="004215F5">
            <w:pPr>
              <w:ind w:right="278"/>
              <w:jc w:val="right"/>
              <w:rPr>
                <w:rFonts w:ascii="Arial" w:hAnsi="Arial" w:cs="Arial"/>
                <w:b/>
                <w:color w:val="000000"/>
                <w:sz w:val="16"/>
                <w:szCs w:val="16"/>
                <w:lang w:eastAsia="es-MX"/>
              </w:rPr>
            </w:pPr>
            <w:r>
              <w:rPr>
                <w:rFonts w:ascii="Arial" w:hAnsi="Arial" w:cs="Arial"/>
                <w:b/>
                <w:sz w:val="16"/>
                <w:szCs w:val="16"/>
                <w:lang w:eastAsia="es-MX"/>
              </w:rPr>
              <w:t>$</w:t>
            </w:r>
            <w:r w:rsidRPr="009C5B5B">
              <w:rPr>
                <w:rFonts w:ascii="Arial" w:hAnsi="Arial" w:cs="Arial"/>
                <w:b/>
                <w:sz w:val="16"/>
                <w:szCs w:val="16"/>
                <w:lang w:eastAsia="es-MX"/>
              </w:rPr>
              <w:t>2,229,651,483.00</w:t>
            </w:r>
          </w:p>
        </w:tc>
        <w:tc>
          <w:tcPr>
            <w:tcW w:w="953" w:type="pct"/>
            <w:tcBorders>
              <w:top w:val="nil"/>
              <w:left w:val="nil"/>
              <w:bottom w:val="single" w:sz="4" w:space="0" w:color="auto"/>
              <w:right w:val="single" w:sz="4" w:space="0" w:color="auto"/>
            </w:tcBorders>
            <w:shd w:val="clear" w:color="auto" w:fill="auto"/>
            <w:vAlign w:val="center"/>
            <w:hideMark/>
          </w:tcPr>
          <w:p w14:paraId="73FF4362" w14:textId="77777777" w:rsidR="005E1205" w:rsidRPr="00A5777C" w:rsidRDefault="005E1205" w:rsidP="004215F5">
            <w:pPr>
              <w:ind w:right="278"/>
              <w:jc w:val="center"/>
              <w:rPr>
                <w:rFonts w:ascii="Arial" w:hAnsi="Arial" w:cs="Arial"/>
                <w:b/>
                <w:color w:val="000000"/>
                <w:sz w:val="16"/>
                <w:szCs w:val="16"/>
                <w:lang w:eastAsia="es-MX"/>
              </w:rPr>
            </w:pPr>
            <w:r>
              <w:rPr>
                <w:rFonts w:ascii="Arial" w:hAnsi="Arial" w:cs="Arial"/>
                <w:b/>
                <w:color w:val="000000"/>
                <w:sz w:val="16"/>
                <w:szCs w:val="16"/>
                <w:lang w:eastAsia="es-MX"/>
              </w:rPr>
              <w:t>3.6</w:t>
            </w:r>
            <w:r w:rsidRPr="00A5777C">
              <w:rPr>
                <w:rFonts w:ascii="Arial" w:hAnsi="Arial" w:cs="Arial"/>
                <w:b/>
                <w:color w:val="000000"/>
                <w:sz w:val="16"/>
                <w:szCs w:val="16"/>
                <w:lang w:eastAsia="es-MX"/>
              </w:rPr>
              <w:t>%</w:t>
            </w:r>
          </w:p>
        </w:tc>
      </w:tr>
      <w:tr w:rsidR="005E1205" w:rsidRPr="0048414D" w14:paraId="55846D29" w14:textId="77777777" w:rsidTr="00296B6A">
        <w:trPr>
          <w:trHeight w:val="548"/>
        </w:trPr>
        <w:tc>
          <w:tcPr>
            <w:tcW w:w="1049" w:type="pct"/>
            <w:tcBorders>
              <w:top w:val="nil"/>
              <w:left w:val="single" w:sz="4" w:space="0" w:color="auto"/>
              <w:bottom w:val="single" w:sz="4" w:space="0" w:color="auto"/>
              <w:right w:val="single" w:sz="4" w:space="0" w:color="auto"/>
            </w:tcBorders>
            <w:shd w:val="clear" w:color="000000" w:fill="BC955B"/>
            <w:vAlign w:val="center"/>
            <w:hideMark/>
          </w:tcPr>
          <w:p w14:paraId="12313FF4" w14:textId="77777777" w:rsidR="005E1205" w:rsidRPr="00C90EB3" w:rsidRDefault="005E1205" w:rsidP="004215F5">
            <w:pPr>
              <w:ind w:right="278"/>
              <w:jc w:val="center"/>
              <w:rPr>
                <w:rFonts w:ascii="Arial" w:hAnsi="Arial" w:cs="Arial"/>
                <w:b/>
                <w:bCs/>
                <w:color w:val="000000"/>
                <w:sz w:val="16"/>
                <w:szCs w:val="16"/>
                <w:lang w:eastAsia="es-MX"/>
              </w:rPr>
            </w:pPr>
            <w:r w:rsidRPr="00C90EB3">
              <w:rPr>
                <w:rFonts w:ascii="Arial" w:hAnsi="Arial" w:cs="Arial"/>
                <w:b/>
                <w:bCs/>
                <w:color w:val="000000"/>
                <w:sz w:val="16"/>
                <w:szCs w:val="16"/>
                <w:lang w:eastAsia="es-MX"/>
              </w:rPr>
              <w:t>Total</w:t>
            </w:r>
          </w:p>
        </w:tc>
        <w:tc>
          <w:tcPr>
            <w:tcW w:w="884" w:type="pct"/>
            <w:tcBorders>
              <w:top w:val="nil"/>
              <w:left w:val="nil"/>
              <w:bottom w:val="single" w:sz="4" w:space="0" w:color="auto"/>
              <w:right w:val="single" w:sz="4" w:space="0" w:color="auto"/>
            </w:tcBorders>
            <w:shd w:val="clear" w:color="000000" w:fill="BC955B"/>
            <w:vAlign w:val="center"/>
            <w:hideMark/>
          </w:tcPr>
          <w:p w14:paraId="066F22B3" w14:textId="77777777" w:rsidR="005E1205" w:rsidRPr="00C90EB3" w:rsidRDefault="005E1205" w:rsidP="004215F5">
            <w:pPr>
              <w:ind w:right="278"/>
              <w:jc w:val="right"/>
              <w:rPr>
                <w:rFonts w:ascii="Arial" w:hAnsi="Arial" w:cs="Arial"/>
                <w:b/>
                <w:bCs/>
                <w:color w:val="000000"/>
                <w:sz w:val="16"/>
                <w:szCs w:val="16"/>
                <w:lang w:eastAsia="es-MX"/>
              </w:rPr>
            </w:pPr>
            <w:r w:rsidRPr="00C90EB3">
              <w:rPr>
                <w:rFonts w:ascii="Arial" w:hAnsi="Arial" w:cs="Arial"/>
                <w:b/>
                <w:bCs/>
                <w:color w:val="000000"/>
                <w:sz w:val="16"/>
                <w:szCs w:val="16"/>
                <w:lang w:eastAsia="es-MX"/>
              </w:rPr>
              <w:t>$68,082,300,903.00</w:t>
            </w:r>
          </w:p>
        </w:tc>
        <w:tc>
          <w:tcPr>
            <w:tcW w:w="1117" w:type="pct"/>
            <w:tcBorders>
              <w:top w:val="nil"/>
              <w:left w:val="nil"/>
              <w:bottom w:val="single" w:sz="4" w:space="0" w:color="auto"/>
              <w:right w:val="single" w:sz="4" w:space="0" w:color="auto"/>
            </w:tcBorders>
            <w:shd w:val="clear" w:color="000000" w:fill="BC955B"/>
            <w:vAlign w:val="center"/>
            <w:hideMark/>
          </w:tcPr>
          <w:p w14:paraId="7092E333" w14:textId="77777777" w:rsidR="005E1205" w:rsidRPr="00C90EB3" w:rsidRDefault="005E1205" w:rsidP="004215F5">
            <w:pPr>
              <w:ind w:right="278"/>
              <w:jc w:val="right"/>
              <w:rPr>
                <w:rFonts w:ascii="Arial" w:hAnsi="Arial" w:cs="Arial"/>
                <w:b/>
                <w:bCs/>
                <w:color w:val="000000"/>
                <w:sz w:val="16"/>
                <w:szCs w:val="16"/>
                <w:lang w:eastAsia="es-MX"/>
              </w:rPr>
            </w:pPr>
            <w:r>
              <w:rPr>
                <w:rFonts w:ascii="Arial" w:hAnsi="Arial" w:cs="Arial"/>
                <w:b/>
                <w:bCs/>
                <w:color w:val="000000"/>
                <w:sz w:val="16"/>
                <w:szCs w:val="16"/>
                <w:lang w:eastAsia="es-MX"/>
              </w:rPr>
              <w:t>$71,039,555,296.00</w:t>
            </w:r>
          </w:p>
        </w:tc>
        <w:tc>
          <w:tcPr>
            <w:tcW w:w="997" w:type="pct"/>
            <w:tcBorders>
              <w:top w:val="nil"/>
              <w:left w:val="nil"/>
              <w:bottom w:val="single" w:sz="4" w:space="0" w:color="auto"/>
              <w:right w:val="single" w:sz="4" w:space="0" w:color="auto"/>
            </w:tcBorders>
            <w:shd w:val="clear" w:color="000000" w:fill="BC955B"/>
            <w:vAlign w:val="center"/>
            <w:hideMark/>
          </w:tcPr>
          <w:p w14:paraId="4E2301E1" w14:textId="77777777" w:rsidR="005E1205" w:rsidRPr="00C90EB3" w:rsidRDefault="005E1205" w:rsidP="004215F5">
            <w:pPr>
              <w:ind w:right="278"/>
              <w:jc w:val="right"/>
              <w:rPr>
                <w:rFonts w:ascii="Arial" w:hAnsi="Arial" w:cs="Arial"/>
                <w:b/>
                <w:bCs/>
                <w:color w:val="000000"/>
                <w:sz w:val="16"/>
                <w:szCs w:val="16"/>
                <w:lang w:eastAsia="es-MX"/>
              </w:rPr>
            </w:pPr>
            <w:r>
              <w:rPr>
                <w:rFonts w:ascii="Arial" w:hAnsi="Arial" w:cs="Arial"/>
                <w:b/>
                <w:bCs/>
                <w:color w:val="000000"/>
                <w:sz w:val="16"/>
                <w:szCs w:val="16"/>
                <w:lang w:eastAsia="es-MX"/>
              </w:rPr>
              <w:t>$2,957,254,393.00</w:t>
            </w:r>
          </w:p>
        </w:tc>
        <w:tc>
          <w:tcPr>
            <w:tcW w:w="953" w:type="pct"/>
            <w:tcBorders>
              <w:top w:val="nil"/>
              <w:left w:val="nil"/>
              <w:bottom w:val="single" w:sz="4" w:space="0" w:color="auto"/>
              <w:right w:val="single" w:sz="4" w:space="0" w:color="auto"/>
            </w:tcBorders>
            <w:shd w:val="clear" w:color="000000" w:fill="BC955B"/>
            <w:vAlign w:val="center"/>
            <w:hideMark/>
          </w:tcPr>
          <w:p w14:paraId="300BF360" w14:textId="77777777" w:rsidR="005E1205" w:rsidRPr="00C90EB3" w:rsidRDefault="005E1205" w:rsidP="004215F5">
            <w:pPr>
              <w:ind w:right="278"/>
              <w:jc w:val="center"/>
              <w:rPr>
                <w:rFonts w:ascii="Arial" w:hAnsi="Arial" w:cs="Arial"/>
                <w:b/>
                <w:bCs/>
                <w:color w:val="000000"/>
                <w:sz w:val="16"/>
                <w:szCs w:val="16"/>
                <w:lang w:eastAsia="es-MX"/>
              </w:rPr>
            </w:pPr>
            <w:r>
              <w:rPr>
                <w:rFonts w:ascii="Arial" w:hAnsi="Arial" w:cs="Arial"/>
                <w:b/>
                <w:bCs/>
                <w:color w:val="000000"/>
                <w:sz w:val="16"/>
                <w:szCs w:val="16"/>
                <w:lang w:eastAsia="es-MX"/>
              </w:rPr>
              <w:t>4.3%</w:t>
            </w:r>
          </w:p>
        </w:tc>
      </w:tr>
    </w:tbl>
    <w:p w14:paraId="2A28F82D" w14:textId="77777777" w:rsidR="008817A5" w:rsidRDefault="008817A5" w:rsidP="004215F5">
      <w:pPr>
        <w:pStyle w:val="Textoindependiente"/>
        <w:spacing w:after="0"/>
        <w:jc w:val="both"/>
        <w:rPr>
          <w:rFonts w:ascii="Arial" w:hAnsi="Arial" w:cs="Arial"/>
          <w:sz w:val="24"/>
          <w:szCs w:val="24"/>
          <w:highlight w:val="yellow"/>
        </w:rPr>
      </w:pPr>
    </w:p>
    <w:p w14:paraId="1DCD787A" w14:textId="77777777" w:rsidR="005E1205" w:rsidRPr="007816F3" w:rsidRDefault="005E1205" w:rsidP="004215F5">
      <w:pPr>
        <w:pStyle w:val="Textoindependiente"/>
        <w:spacing w:after="0"/>
        <w:jc w:val="both"/>
        <w:rPr>
          <w:rFonts w:ascii="Arial" w:hAnsi="Arial" w:cs="Arial"/>
          <w:bCs/>
        </w:rPr>
      </w:pPr>
      <w:r w:rsidRPr="007816F3">
        <w:rPr>
          <w:rFonts w:ascii="Arial" w:hAnsi="Arial" w:cs="Arial"/>
          <w:b/>
        </w:rPr>
        <w:t xml:space="preserve">DÉCIMO SEGUNDO. </w:t>
      </w:r>
      <w:r w:rsidRPr="007816F3">
        <w:rPr>
          <w:rFonts w:ascii="Arial" w:hAnsi="Arial" w:cs="Arial"/>
          <w:bCs/>
        </w:rPr>
        <w:t xml:space="preserve">Con fundamento en el artículo 5 párrafos segundo, tercero y cuarto de la Ley de Disciplina Financiera de las Entidades Federativas y los Municipios, de conformidad con la notificación realizada por la Secretaría de Hacienda y Crédito Público al Gobierno del Estado de Hidalgo, respecto del Fondo General de Participaciones, así como del Presupuesto de Egresos de la Federación para el Ejercicio Fiscal 2025 presentado ante la Cámara de Diputados, para el Ejercicio Fiscal 2025, </w:t>
      </w:r>
      <w:r w:rsidRPr="007816F3">
        <w:rPr>
          <w:rFonts w:ascii="Arial" w:hAnsi="Arial" w:cs="Arial"/>
          <w:b/>
        </w:rPr>
        <w:t>se prevé recaudar un total de $71,039,555,296.00 (Setenta y un mil treinta y nueve millones quinientos cincuenta y cinco mil doscientos noventa y seis pesos 00/100 MN),</w:t>
      </w:r>
      <w:r w:rsidRPr="007816F3">
        <w:rPr>
          <w:rFonts w:ascii="Arial" w:hAnsi="Arial" w:cs="Arial"/>
          <w:bCs/>
        </w:rPr>
        <w:t xml:space="preserve"> mostrando un </w:t>
      </w:r>
      <w:r w:rsidRPr="007816F3">
        <w:rPr>
          <w:rFonts w:ascii="Arial" w:hAnsi="Arial" w:cs="Arial"/>
          <w:b/>
        </w:rPr>
        <w:t>crecimiento del 4.3%</w:t>
      </w:r>
      <w:r w:rsidRPr="007816F3">
        <w:rPr>
          <w:rFonts w:ascii="Arial" w:hAnsi="Arial" w:cs="Arial"/>
          <w:bCs/>
        </w:rPr>
        <w:t xml:space="preserve"> con relación al ejercicio 2024, toda vez que, derivado de la creación del IMSS Bienestar, se estima que el Fondo de Aportaciones para los Servicios de Salud (</w:t>
      </w:r>
      <w:proofErr w:type="spellStart"/>
      <w:r w:rsidRPr="007816F3">
        <w:rPr>
          <w:rFonts w:ascii="Arial" w:hAnsi="Arial" w:cs="Arial"/>
          <w:bCs/>
        </w:rPr>
        <w:t>FASSA</w:t>
      </w:r>
      <w:proofErr w:type="spellEnd"/>
      <w:r w:rsidRPr="007816F3">
        <w:rPr>
          <w:rFonts w:ascii="Arial" w:hAnsi="Arial" w:cs="Arial"/>
          <w:bCs/>
        </w:rPr>
        <w:t>) tendrá una reducción del 58% pasando de $4,400,000,000.00 (Cuatro mil cuatrocientos millones de pesos 00/100 MN) a $1,842,971,943.00 (Mil ochocientos cuarenta y dos millones novecientos setenta y un mil novecientos cuarenta y tres pesos 00/100 MN).</w:t>
      </w:r>
    </w:p>
    <w:p w14:paraId="6E93B390" w14:textId="77777777" w:rsidR="005E1205" w:rsidRPr="007816F3" w:rsidRDefault="005E1205" w:rsidP="004215F5">
      <w:pPr>
        <w:pStyle w:val="Textoindependiente"/>
        <w:spacing w:after="0"/>
        <w:jc w:val="both"/>
        <w:rPr>
          <w:rFonts w:ascii="Arial" w:hAnsi="Arial" w:cs="Arial"/>
          <w:b/>
        </w:rPr>
      </w:pPr>
    </w:p>
    <w:p w14:paraId="335C93F3" w14:textId="77777777" w:rsidR="005E1205" w:rsidRPr="007816F3" w:rsidRDefault="005E1205" w:rsidP="004215F5">
      <w:pPr>
        <w:pStyle w:val="Textoindependiente"/>
        <w:spacing w:after="0"/>
        <w:jc w:val="both"/>
        <w:rPr>
          <w:rFonts w:ascii="Arial" w:hAnsi="Arial" w:cs="Arial"/>
        </w:rPr>
      </w:pPr>
      <w:r w:rsidRPr="007816F3">
        <w:rPr>
          <w:rFonts w:ascii="Arial" w:hAnsi="Arial" w:cs="Arial"/>
          <w:b/>
        </w:rPr>
        <w:t xml:space="preserve">DÉCIMO TERCERO. </w:t>
      </w:r>
      <w:r w:rsidRPr="007816F3">
        <w:rPr>
          <w:rFonts w:ascii="Arial" w:hAnsi="Arial" w:cs="Arial"/>
        </w:rPr>
        <w:t>Que para el Ejercicio Fiscal 2025, se estima que las Transferencias Federales representarán el 89.49%, mientras que los ingresos propios un 10.51% del total del Presupuesto de Ingresos del Estado de Hidalgo, es decir, se proyecta tener un crecimiento en la eficiencia recaudatoria del .61% con relación a lo estimado en el ejercicio 2024. En ese sentido, los recursos provenientes de las Aportaciones representan la principal fuente de ingresos para el Estado con un 45.37%, las Participaciones representan el 38.51% y los recursos recaudados de las Potestades Tributarias Locales y Organismos Descentralizados el 10.51%; mientras que el 5.61% restante corresponde a Incentivos derivados de la colaboración fiscal, Subsidios y Subvenciones.</w:t>
      </w:r>
    </w:p>
    <w:p w14:paraId="01A495D7" w14:textId="77777777" w:rsidR="005E1205" w:rsidRPr="007816F3" w:rsidRDefault="005E1205" w:rsidP="004215F5">
      <w:pPr>
        <w:pStyle w:val="Textoindependiente"/>
        <w:spacing w:after="0"/>
        <w:jc w:val="both"/>
        <w:rPr>
          <w:rFonts w:ascii="Arial" w:hAnsi="Arial" w:cs="Arial"/>
        </w:rPr>
      </w:pPr>
    </w:p>
    <w:p w14:paraId="2215144D" w14:textId="77777777" w:rsidR="005E1205" w:rsidRPr="007816F3" w:rsidRDefault="005E1205" w:rsidP="004215F5">
      <w:pPr>
        <w:pStyle w:val="Textoindependiente"/>
        <w:spacing w:after="0"/>
        <w:jc w:val="both"/>
        <w:rPr>
          <w:rFonts w:ascii="Arial" w:hAnsi="Arial" w:cs="Arial"/>
        </w:rPr>
      </w:pPr>
      <w:r w:rsidRPr="007816F3">
        <w:rPr>
          <w:rFonts w:ascii="Arial" w:hAnsi="Arial" w:cs="Arial"/>
          <w:b/>
          <w:bCs/>
        </w:rPr>
        <w:t>DÉCIMO CUARTO</w:t>
      </w:r>
      <w:r w:rsidRPr="007816F3">
        <w:rPr>
          <w:rFonts w:ascii="Arial" w:hAnsi="Arial" w:cs="Arial"/>
        </w:rPr>
        <w:t>. Que en cumplimiento a lo establecido en el artículo 5 fracción II de la Ley de Disciplina Financiera de las Entidades Federativas y los Municipios, se presentan los montos de los ingresos proyectados del Estado de Hidalgo para los ejercicios fiscales 2026 a 2030, en adición al Ejercicio Fiscal 2025.</w:t>
      </w:r>
    </w:p>
    <w:p w14:paraId="419D66CB" w14:textId="77777777" w:rsidR="005E1205" w:rsidRDefault="005E1205" w:rsidP="005E1205">
      <w:pPr>
        <w:pStyle w:val="Textoindependiente"/>
        <w:spacing w:after="0" w:line="400" w:lineRule="atLeast"/>
        <w:jc w:val="both"/>
        <w:rPr>
          <w:rFonts w:ascii="Arial" w:hAnsi="Arial" w:cs="Arial"/>
          <w:highlight w:val="yellow"/>
        </w:rPr>
      </w:pPr>
    </w:p>
    <w:p w14:paraId="63677378" w14:textId="77777777" w:rsidR="00A34F46" w:rsidRDefault="00A34F46" w:rsidP="005E1205">
      <w:pPr>
        <w:pStyle w:val="Textoindependiente"/>
        <w:spacing w:after="0" w:line="400" w:lineRule="atLeast"/>
        <w:jc w:val="both"/>
        <w:rPr>
          <w:rFonts w:ascii="Arial" w:hAnsi="Arial" w:cs="Arial"/>
          <w:highlight w:val="yellow"/>
        </w:rPr>
      </w:pPr>
    </w:p>
    <w:p w14:paraId="38ED7167" w14:textId="77777777" w:rsidR="00AD3F68" w:rsidRPr="004215F5" w:rsidRDefault="00AD3F68" w:rsidP="005E1205">
      <w:pPr>
        <w:pStyle w:val="Textoindependiente"/>
        <w:spacing w:after="0" w:line="400" w:lineRule="atLeast"/>
        <w:jc w:val="both"/>
        <w:rPr>
          <w:rFonts w:ascii="Arial" w:hAnsi="Arial" w:cs="Arial"/>
          <w:highlight w:val="yellow"/>
        </w:rPr>
      </w:pPr>
    </w:p>
    <w:tbl>
      <w:tblPr>
        <w:tblW w:w="93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1276"/>
        <w:gridCol w:w="1272"/>
        <w:gridCol w:w="1276"/>
        <w:gridCol w:w="1421"/>
        <w:gridCol w:w="1275"/>
        <w:gridCol w:w="1282"/>
      </w:tblGrid>
      <w:tr w:rsidR="005E1205" w:rsidRPr="00BB7DB2" w14:paraId="5256E16E" w14:textId="77777777" w:rsidTr="00296B6A">
        <w:trPr>
          <w:trHeight w:val="339"/>
        </w:trPr>
        <w:tc>
          <w:tcPr>
            <w:tcW w:w="9362" w:type="dxa"/>
            <w:gridSpan w:val="7"/>
            <w:shd w:val="clear" w:color="000000" w:fill="691C31"/>
            <w:noWrap/>
            <w:vAlign w:val="bottom"/>
            <w:hideMark/>
          </w:tcPr>
          <w:p w14:paraId="3EC623C4" w14:textId="77777777" w:rsidR="005E1205" w:rsidRPr="00BB7DB2" w:rsidRDefault="005E1205" w:rsidP="00296B6A">
            <w:pPr>
              <w:ind w:right="277"/>
              <w:jc w:val="center"/>
              <w:rPr>
                <w:rFonts w:ascii="Arial" w:hAnsi="Arial" w:cs="Arial"/>
                <w:b/>
                <w:bCs/>
                <w:color w:val="FFFFFF"/>
                <w:sz w:val="12"/>
                <w:szCs w:val="12"/>
                <w:lang w:eastAsia="es-MX"/>
              </w:rPr>
            </w:pPr>
            <w:r w:rsidRPr="00BB7DB2">
              <w:rPr>
                <w:rFonts w:ascii="Arial" w:hAnsi="Arial" w:cs="Arial"/>
                <w:b/>
                <w:bCs/>
                <w:color w:val="FFFFFF"/>
                <w:sz w:val="12"/>
                <w:szCs w:val="12"/>
                <w:lang w:eastAsia="es-MX"/>
              </w:rPr>
              <w:lastRenderedPageBreak/>
              <w:t>(Cifras Nominales)</w:t>
            </w:r>
          </w:p>
        </w:tc>
      </w:tr>
      <w:tr w:rsidR="005E1205" w:rsidRPr="00BB7DB2" w14:paraId="51F1D023" w14:textId="77777777" w:rsidTr="00296B6A">
        <w:trPr>
          <w:trHeight w:val="579"/>
        </w:trPr>
        <w:tc>
          <w:tcPr>
            <w:tcW w:w="1560" w:type="dxa"/>
            <w:vMerge w:val="restart"/>
            <w:shd w:val="clear" w:color="000000" w:fill="691C31"/>
            <w:noWrap/>
            <w:vAlign w:val="center"/>
            <w:hideMark/>
          </w:tcPr>
          <w:p w14:paraId="6A1320E2" w14:textId="77777777" w:rsidR="005E1205" w:rsidRPr="00BB7DB2" w:rsidRDefault="005E1205" w:rsidP="00296B6A">
            <w:pPr>
              <w:ind w:right="-73"/>
              <w:jc w:val="center"/>
              <w:rPr>
                <w:rFonts w:ascii="Arial" w:hAnsi="Arial" w:cs="Arial"/>
                <w:b/>
                <w:bCs/>
                <w:color w:val="FFFFFF"/>
                <w:sz w:val="12"/>
                <w:szCs w:val="12"/>
                <w:lang w:eastAsia="es-MX"/>
              </w:rPr>
            </w:pPr>
            <w:r w:rsidRPr="00BB7DB2">
              <w:rPr>
                <w:rFonts w:ascii="Arial" w:hAnsi="Arial" w:cs="Arial"/>
                <w:b/>
                <w:bCs/>
                <w:color w:val="FFFFFF"/>
                <w:sz w:val="12"/>
                <w:szCs w:val="12"/>
                <w:lang w:eastAsia="es-MX"/>
              </w:rPr>
              <w:t>Concepto</w:t>
            </w:r>
          </w:p>
        </w:tc>
        <w:tc>
          <w:tcPr>
            <w:tcW w:w="1276" w:type="dxa"/>
            <w:vMerge w:val="restart"/>
            <w:shd w:val="clear" w:color="000000" w:fill="691C31"/>
            <w:noWrap/>
            <w:vAlign w:val="center"/>
            <w:hideMark/>
          </w:tcPr>
          <w:p w14:paraId="7AE17BD4" w14:textId="77777777" w:rsidR="005E1205" w:rsidRPr="00BB7DB2" w:rsidRDefault="005E1205" w:rsidP="00296B6A">
            <w:pPr>
              <w:ind w:right="277"/>
              <w:jc w:val="center"/>
              <w:rPr>
                <w:rFonts w:ascii="Arial" w:hAnsi="Arial" w:cs="Arial"/>
                <w:b/>
                <w:bCs/>
                <w:color w:val="FFFFFF"/>
                <w:sz w:val="12"/>
                <w:szCs w:val="12"/>
                <w:lang w:eastAsia="es-MX"/>
              </w:rPr>
            </w:pPr>
            <w:r w:rsidRPr="00BB7DB2">
              <w:rPr>
                <w:rFonts w:ascii="Arial" w:hAnsi="Arial" w:cs="Arial"/>
                <w:b/>
                <w:bCs/>
                <w:color w:val="FFFFFF"/>
                <w:sz w:val="12"/>
                <w:szCs w:val="12"/>
                <w:lang w:eastAsia="es-MX"/>
              </w:rPr>
              <w:t>2025</w:t>
            </w:r>
          </w:p>
        </w:tc>
        <w:tc>
          <w:tcPr>
            <w:tcW w:w="1272" w:type="dxa"/>
            <w:vMerge w:val="restart"/>
            <w:shd w:val="clear" w:color="000000" w:fill="691C31"/>
            <w:noWrap/>
            <w:vAlign w:val="center"/>
            <w:hideMark/>
          </w:tcPr>
          <w:p w14:paraId="37586C47" w14:textId="77777777" w:rsidR="005E1205" w:rsidRPr="00BB7DB2" w:rsidRDefault="005E1205" w:rsidP="00296B6A">
            <w:pPr>
              <w:ind w:right="277"/>
              <w:jc w:val="center"/>
              <w:rPr>
                <w:rFonts w:ascii="Arial" w:hAnsi="Arial" w:cs="Arial"/>
                <w:b/>
                <w:bCs/>
                <w:color w:val="FFFFFF"/>
                <w:sz w:val="12"/>
                <w:szCs w:val="12"/>
                <w:lang w:eastAsia="es-MX"/>
              </w:rPr>
            </w:pPr>
            <w:r w:rsidRPr="00BB7DB2">
              <w:rPr>
                <w:rFonts w:ascii="Arial" w:hAnsi="Arial" w:cs="Arial"/>
                <w:b/>
                <w:bCs/>
                <w:color w:val="FFFFFF"/>
                <w:sz w:val="12"/>
                <w:szCs w:val="12"/>
                <w:lang w:eastAsia="es-MX"/>
              </w:rPr>
              <w:t>2026</w:t>
            </w:r>
          </w:p>
        </w:tc>
        <w:tc>
          <w:tcPr>
            <w:tcW w:w="1276" w:type="dxa"/>
            <w:vMerge w:val="restart"/>
            <w:shd w:val="clear" w:color="000000" w:fill="691C31"/>
            <w:noWrap/>
            <w:vAlign w:val="center"/>
            <w:hideMark/>
          </w:tcPr>
          <w:p w14:paraId="563EA7CC" w14:textId="77777777" w:rsidR="005E1205" w:rsidRPr="00BB7DB2" w:rsidRDefault="005E1205" w:rsidP="00296B6A">
            <w:pPr>
              <w:ind w:right="277"/>
              <w:jc w:val="center"/>
              <w:rPr>
                <w:rFonts w:ascii="Arial" w:hAnsi="Arial" w:cs="Arial"/>
                <w:b/>
                <w:bCs/>
                <w:color w:val="FFFFFF"/>
                <w:sz w:val="12"/>
                <w:szCs w:val="12"/>
                <w:lang w:eastAsia="es-MX"/>
              </w:rPr>
            </w:pPr>
            <w:r w:rsidRPr="00BB7DB2">
              <w:rPr>
                <w:rFonts w:ascii="Arial" w:hAnsi="Arial" w:cs="Arial"/>
                <w:b/>
                <w:bCs/>
                <w:color w:val="FFFFFF"/>
                <w:sz w:val="12"/>
                <w:szCs w:val="12"/>
                <w:lang w:eastAsia="es-MX"/>
              </w:rPr>
              <w:t>2027</w:t>
            </w:r>
          </w:p>
        </w:tc>
        <w:tc>
          <w:tcPr>
            <w:tcW w:w="1421" w:type="dxa"/>
            <w:vMerge w:val="restart"/>
            <w:shd w:val="clear" w:color="000000" w:fill="691C31"/>
            <w:noWrap/>
            <w:vAlign w:val="center"/>
            <w:hideMark/>
          </w:tcPr>
          <w:p w14:paraId="3CB82C4E" w14:textId="77777777" w:rsidR="005E1205" w:rsidRPr="00BB7DB2" w:rsidRDefault="005E1205" w:rsidP="00296B6A">
            <w:pPr>
              <w:ind w:right="277"/>
              <w:jc w:val="center"/>
              <w:rPr>
                <w:rFonts w:ascii="Arial" w:hAnsi="Arial" w:cs="Arial"/>
                <w:b/>
                <w:bCs/>
                <w:color w:val="FFFFFF"/>
                <w:sz w:val="12"/>
                <w:szCs w:val="12"/>
                <w:lang w:eastAsia="es-MX"/>
              </w:rPr>
            </w:pPr>
            <w:r w:rsidRPr="00BB7DB2">
              <w:rPr>
                <w:rFonts w:ascii="Arial" w:hAnsi="Arial" w:cs="Arial"/>
                <w:b/>
                <w:bCs/>
                <w:color w:val="FFFFFF"/>
                <w:sz w:val="12"/>
                <w:szCs w:val="12"/>
                <w:lang w:eastAsia="es-MX"/>
              </w:rPr>
              <w:t>2028</w:t>
            </w:r>
          </w:p>
        </w:tc>
        <w:tc>
          <w:tcPr>
            <w:tcW w:w="1275" w:type="dxa"/>
            <w:vMerge w:val="restart"/>
            <w:shd w:val="clear" w:color="000000" w:fill="691C31"/>
            <w:noWrap/>
            <w:vAlign w:val="center"/>
            <w:hideMark/>
          </w:tcPr>
          <w:p w14:paraId="00887518" w14:textId="77777777" w:rsidR="005E1205" w:rsidRPr="00BB7DB2" w:rsidRDefault="005E1205" w:rsidP="00296B6A">
            <w:pPr>
              <w:ind w:right="277"/>
              <w:jc w:val="center"/>
              <w:rPr>
                <w:rFonts w:ascii="Arial" w:hAnsi="Arial" w:cs="Arial"/>
                <w:b/>
                <w:bCs/>
                <w:color w:val="FFFFFF"/>
                <w:sz w:val="12"/>
                <w:szCs w:val="12"/>
                <w:lang w:eastAsia="es-MX"/>
              </w:rPr>
            </w:pPr>
            <w:r w:rsidRPr="00BB7DB2">
              <w:rPr>
                <w:rFonts w:ascii="Arial" w:hAnsi="Arial" w:cs="Arial"/>
                <w:b/>
                <w:bCs/>
                <w:color w:val="FFFFFF"/>
                <w:sz w:val="12"/>
                <w:szCs w:val="12"/>
                <w:lang w:eastAsia="es-MX"/>
              </w:rPr>
              <w:t>2029</w:t>
            </w:r>
          </w:p>
        </w:tc>
        <w:tc>
          <w:tcPr>
            <w:tcW w:w="1282" w:type="dxa"/>
            <w:vMerge w:val="restart"/>
            <w:shd w:val="clear" w:color="000000" w:fill="691C31"/>
            <w:noWrap/>
            <w:vAlign w:val="center"/>
            <w:hideMark/>
          </w:tcPr>
          <w:p w14:paraId="0E00DB82" w14:textId="77777777" w:rsidR="005E1205" w:rsidRPr="00BB7DB2" w:rsidRDefault="005E1205" w:rsidP="00296B6A">
            <w:pPr>
              <w:ind w:right="277"/>
              <w:jc w:val="center"/>
              <w:rPr>
                <w:rFonts w:ascii="Arial" w:hAnsi="Arial" w:cs="Arial"/>
                <w:b/>
                <w:bCs/>
                <w:color w:val="FFFFFF"/>
                <w:sz w:val="12"/>
                <w:szCs w:val="12"/>
                <w:lang w:eastAsia="es-MX"/>
              </w:rPr>
            </w:pPr>
            <w:r w:rsidRPr="00BB7DB2">
              <w:rPr>
                <w:rFonts w:ascii="Arial" w:hAnsi="Arial" w:cs="Arial"/>
                <w:b/>
                <w:bCs/>
                <w:color w:val="FFFFFF"/>
                <w:sz w:val="12"/>
                <w:szCs w:val="12"/>
                <w:lang w:eastAsia="es-MX"/>
              </w:rPr>
              <w:t>2030</w:t>
            </w:r>
          </w:p>
        </w:tc>
      </w:tr>
      <w:tr w:rsidR="005E1205" w:rsidRPr="00BB7DB2" w14:paraId="1C579484" w14:textId="77777777" w:rsidTr="00296B6A">
        <w:trPr>
          <w:trHeight w:val="408"/>
        </w:trPr>
        <w:tc>
          <w:tcPr>
            <w:tcW w:w="1560" w:type="dxa"/>
            <w:vMerge/>
            <w:vAlign w:val="center"/>
            <w:hideMark/>
          </w:tcPr>
          <w:p w14:paraId="44CA9FC0" w14:textId="77777777" w:rsidR="005E1205" w:rsidRPr="00BB7DB2" w:rsidRDefault="005E1205" w:rsidP="00296B6A">
            <w:pPr>
              <w:ind w:right="277"/>
              <w:rPr>
                <w:rFonts w:ascii="Arial" w:hAnsi="Arial" w:cs="Arial"/>
                <w:b/>
                <w:bCs/>
                <w:color w:val="FFFFFF"/>
                <w:sz w:val="12"/>
                <w:szCs w:val="12"/>
                <w:lang w:eastAsia="es-MX"/>
              </w:rPr>
            </w:pPr>
          </w:p>
        </w:tc>
        <w:tc>
          <w:tcPr>
            <w:tcW w:w="1276" w:type="dxa"/>
            <w:vMerge/>
            <w:vAlign w:val="center"/>
            <w:hideMark/>
          </w:tcPr>
          <w:p w14:paraId="2C5F606B" w14:textId="77777777" w:rsidR="005E1205" w:rsidRPr="00BB7DB2" w:rsidRDefault="005E1205" w:rsidP="00296B6A">
            <w:pPr>
              <w:ind w:right="277"/>
              <w:rPr>
                <w:rFonts w:ascii="Arial" w:hAnsi="Arial" w:cs="Arial"/>
                <w:b/>
                <w:bCs/>
                <w:color w:val="FFFFFF"/>
                <w:sz w:val="12"/>
                <w:szCs w:val="12"/>
                <w:lang w:eastAsia="es-MX"/>
              </w:rPr>
            </w:pPr>
          </w:p>
        </w:tc>
        <w:tc>
          <w:tcPr>
            <w:tcW w:w="1272" w:type="dxa"/>
            <w:vMerge/>
            <w:vAlign w:val="center"/>
            <w:hideMark/>
          </w:tcPr>
          <w:p w14:paraId="6202B047" w14:textId="77777777" w:rsidR="005E1205" w:rsidRPr="00BB7DB2" w:rsidRDefault="005E1205" w:rsidP="00296B6A">
            <w:pPr>
              <w:ind w:right="277"/>
              <w:rPr>
                <w:rFonts w:ascii="Arial" w:hAnsi="Arial" w:cs="Arial"/>
                <w:b/>
                <w:bCs/>
                <w:color w:val="FFFFFF"/>
                <w:sz w:val="12"/>
                <w:szCs w:val="12"/>
                <w:lang w:eastAsia="es-MX"/>
              </w:rPr>
            </w:pPr>
          </w:p>
        </w:tc>
        <w:tc>
          <w:tcPr>
            <w:tcW w:w="1276" w:type="dxa"/>
            <w:vMerge/>
            <w:vAlign w:val="center"/>
            <w:hideMark/>
          </w:tcPr>
          <w:p w14:paraId="1C31719B" w14:textId="77777777" w:rsidR="005E1205" w:rsidRPr="00BB7DB2" w:rsidRDefault="005E1205" w:rsidP="00296B6A">
            <w:pPr>
              <w:ind w:right="277"/>
              <w:rPr>
                <w:rFonts w:ascii="Arial" w:hAnsi="Arial" w:cs="Arial"/>
                <w:b/>
                <w:bCs/>
                <w:color w:val="FFFFFF"/>
                <w:sz w:val="12"/>
                <w:szCs w:val="12"/>
                <w:lang w:eastAsia="es-MX"/>
              </w:rPr>
            </w:pPr>
          </w:p>
        </w:tc>
        <w:tc>
          <w:tcPr>
            <w:tcW w:w="1421" w:type="dxa"/>
            <w:vMerge/>
            <w:vAlign w:val="center"/>
            <w:hideMark/>
          </w:tcPr>
          <w:p w14:paraId="2FE00AAC" w14:textId="77777777" w:rsidR="005E1205" w:rsidRPr="00BB7DB2" w:rsidRDefault="005E1205" w:rsidP="00296B6A">
            <w:pPr>
              <w:ind w:right="277"/>
              <w:rPr>
                <w:rFonts w:ascii="Arial" w:hAnsi="Arial" w:cs="Arial"/>
                <w:b/>
                <w:bCs/>
                <w:color w:val="FFFFFF"/>
                <w:sz w:val="12"/>
                <w:szCs w:val="12"/>
                <w:lang w:eastAsia="es-MX"/>
              </w:rPr>
            </w:pPr>
          </w:p>
        </w:tc>
        <w:tc>
          <w:tcPr>
            <w:tcW w:w="1275" w:type="dxa"/>
            <w:vMerge/>
            <w:vAlign w:val="center"/>
            <w:hideMark/>
          </w:tcPr>
          <w:p w14:paraId="41062746" w14:textId="77777777" w:rsidR="005E1205" w:rsidRPr="00BB7DB2" w:rsidRDefault="005E1205" w:rsidP="00296B6A">
            <w:pPr>
              <w:ind w:right="277"/>
              <w:rPr>
                <w:rFonts w:ascii="Arial" w:hAnsi="Arial" w:cs="Arial"/>
                <w:b/>
                <w:bCs/>
                <w:color w:val="FFFFFF"/>
                <w:sz w:val="12"/>
                <w:szCs w:val="12"/>
                <w:lang w:eastAsia="es-MX"/>
              </w:rPr>
            </w:pPr>
          </w:p>
        </w:tc>
        <w:tc>
          <w:tcPr>
            <w:tcW w:w="1282" w:type="dxa"/>
            <w:vMerge/>
            <w:vAlign w:val="center"/>
            <w:hideMark/>
          </w:tcPr>
          <w:p w14:paraId="241D8A83" w14:textId="77777777" w:rsidR="005E1205" w:rsidRPr="00BB7DB2" w:rsidRDefault="005E1205" w:rsidP="00296B6A">
            <w:pPr>
              <w:ind w:right="277"/>
              <w:rPr>
                <w:rFonts w:ascii="Arial" w:hAnsi="Arial" w:cs="Arial"/>
                <w:b/>
                <w:bCs/>
                <w:color w:val="FFFFFF"/>
                <w:sz w:val="12"/>
                <w:szCs w:val="12"/>
                <w:lang w:eastAsia="es-MX"/>
              </w:rPr>
            </w:pPr>
          </w:p>
        </w:tc>
      </w:tr>
      <w:tr w:rsidR="005E1205" w:rsidRPr="00BB7DB2" w14:paraId="6808C4A9" w14:textId="77777777" w:rsidTr="00296B6A">
        <w:trPr>
          <w:trHeight w:val="640"/>
        </w:trPr>
        <w:tc>
          <w:tcPr>
            <w:tcW w:w="1560" w:type="dxa"/>
            <w:shd w:val="clear" w:color="auto" w:fill="auto"/>
            <w:vAlign w:val="center"/>
            <w:hideMark/>
          </w:tcPr>
          <w:p w14:paraId="66E94605" w14:textId="77777777" w:rsidR="005E1205" w:rsidRPr="00BB7DB2" w:rsidRDefault="005E1205" w:rsidP="00296B6A">
            <w:pPr>
              <w:ind w:right="-67"/>
              <w:rPr>
                <w:rFonts w:ascii="Arial" w:hAnsi="Arial" w:cs="Arial"/>
                <w:b/>
                <w:bCs/>
                <w:color w:val="000000"/>
                <w:sz w:val="12"/>
                <w:szCs w:val="12"/>
                <w:lang w:eastAsia="es-MX"/>
              </w:rPr>
            </w:pPr>
            <w:r w:rsidRPr="00BB7DB2">
              <w:rPr>
                <w:rFonts w:ascii="Arial" w:hAnsi="Arial" w:cs="Arial"/>
                <w:b/>
                <w:bCs/>
                <w:color w:val="000000"/>
                <w:sz w:val="12"/>
                <w:szCs w:val="12"/>
                <w:lang w:eastAsia="es-MX"/>
              </w:rPr>
              <w:t>1.- Ingresos de Libre Disposición (1=</w:t>
            </w:r>
            <w:proofErr w:type="spellStart"/>
            <w:r w:rsidRPr="00BB7DB2">
              <w:rPr>
                <w:rFonts w:ascii="Arial" w:hAnsi="Arial" w:cs="Arial"/>
                <w:b/>
                <w:bCs/>
                <w:color w:val="000000"/>
                <w:sz w:val="12"/>
                <w:szCs w:val="12"/>
                <w:lang w:eastAsia="es-MX"/>
              </w:rPr>
              <w:t>A+B+C+D+E+F+G+H+I+J+K</w:t>
            </w:r>
            <w:proofErr w:type="spellEnd"/>
            <w:r w:rsidRPr="00BB7DB2">
              <w:rPr>
                <w:rFonts w:ascii="Arial" w:hAnsi="Arial" w:cs="Arial"/>
                <w:b/>
                <w:bCs/>
                <w:color w:val="000000"/>
                <w:sz w:val="12"/>
                <w:szCs w:val="12"/>
                <w:lang w:eastAsia="es-MX"/>
              </w:rPr>
              <w:t>+ L)</w:t>
            </w:r>
          </w:p>
        </w:tc>
        <w:tc>
          <w:tcPr>
            <w:tcW w:w="1276" w:type="dxa"/>
            <w:shd w:val="clear" w:color="auto" w:fill="auto"/>
            <w:noWrap/>
            <w:vAlign w:val="center"/>
            <w:hideMark/>
          </w:tcPr>
          <w:p w14:paraId="1E302541" w14:textId="77777777" w:rsidR="005E1205" w:rsidRPr="00BB7DB2" w:rsidRDefault="005E1205" w:rsidP="00296B6A">
            <w:pPr>
              <w:rPr>
                <w:rFonts w:ascii="Arial" w:hAnsi="Arial" w:cs="Arial"/>
                <w:b/>
                <w:bCs/>
                <w:color w:val="000000"/>
                <w:sz w:val="12"/>
                <w:szCs w:val="12"/>
                <w:lang w:eastAsia="es-MX"/>
              </w:rPr>
            </w:pPr>
            <w:r>
              <w:rPr>
                <w:rFonts w:ascii="Arial" w:hAnsi="Arial" w:cs="Arial"/>
                <w:sz w:val="12"/>
                <w:szCs w:val="12"/>
              </w:rPr>
              <w:t xml:space="preserve">    </w:t>
            </w:r>
            <w:r w:rsidRPr="00BB7DB2">
              <w:rPr>
                <w:rFonts w:ascii="Arial" w:hAnsi="Arial" w:cs="Arial"/>
                <w:sz w:val="12"/>
                <w:szCs w:val="12"/>
              </w:rPr>
              <w:t>35,420,058,994.00</w:t>
            </w:r>
          </w:p>
        </w:tc>
        <w:tc>
          <w:tcPr>
            <w:tcW w:w="1272" w:type="dxa"/>
            <w:shd w:val="clear" w:color="auto" w:fill="auto"/>
            <w:noWrap/>
            <w:vAlign w:val="center"/>
            <w:hideMark/>
          </w:tcPr>
          <w:p w14:paraId="3811F69F" w14:textId="77777777" w:rsidR="005E1205" w:rsidRPr="00BB7DB2" w:rsidRDefault="005E1205" w:rsidP="00296B6A">
            <w:pPr>
              <w:tabs>
                <w:tab w:val="left" w:pos="366"/>
              </w:tabs>
              <w:rPr>
                <w:rFonts w:ascii="Arial" w:hAnsi="Arial" w:cs="Arial"/>
                <w:sz w:val="12"/>
                <w:szCs w:val="12"/>
              </w:rPr>
            </w:pPr>
            <w:r>
              <w:rPr>
                <w:rFonts w:ascii="Arial" w:hAnsi="Arial" w:cs="Arial"/>
                <w:sz w:val="12"/>
                <w:szCs w:val="12"/>
              </w:rPr>
              <w:t xml:space="preserve">   </w:t>
            </w:r>
            <w:r w:rsidRPr="00BB7DB2">
              <w:rPr>
                <w:rFonts w:ascii="Arial" w:hAnsi="Arial" w:cs="Arial"/>
                <w:sz w:val="12"/>
                <w:szCs w:val="12"/>
              </w:rPr>
              <w:t>36,694,654,357.00</w:t>
            </w:r>
          </w:p>
        </w:tc>
        <w:tc>
          <w:tcPr>
            <w:tcW w:w="1276" w:type="dxa"/>
            <w:shd w:val="clear" w:color="auto" w:fill="auto"/>
            <w:noWrap/>
            <w:vAlign w:val="center"/>
            <w:hideMark/>
          </w:tcPr>
          <w:p w14:paraId="242EFA98" w14:textId="77777777" w:rsidR="005E1205" w:rsidRPr="00BB7DB2" w:rsidRDefault="005E1205" w:rsidP="00296B6A">
            <w:pPr>
              <w:tabs>
                <w:tab w:val="left" w:pos="366"/>
              </w:tabs>
              <w:rPr>
                <w:rFonts w:ascii="Arial" w:hAnsi="Arial" w:cs="Arial"/>
                <w:sz w:val="12"/>
                <w:szCs w:val="12"/>
              </w:rPr>
            </w:pPr>
            <w:r>
              <w:rPr>
                <w:rFonts w:ascii="Arial" w:hAnsi="Arial" w:cs="Arial"/>
                <w:sz w:val="12"/>
                <w:szCs w:val="12"/>
              </w:rPr>
              <w:t xml:space="preserve">   </w:t>
            </w:r>
            <w:r w:rsidRPr="00BB7DB2">
              <w:rPr>
                <w:rFonts w:ascii="Arial" w:hAnsi="Arial" w:cs="Arial"/>
                <w:sz w:val="12"/>
                <w:szCs w:val="12"/>
              </w:rPr>
              <w:t>37,779,376,779.00</w:t>
            </w:r>
          </w:p>
        </w:tc>
        <w:tc>
          <w:tcPr>
            <w:tcW w:w="1421" w:type="dxa"/>
            <w:shd w:val="clear" w:color="auto" w:fill="auto"/>
            <w:noWrap/>
            <w:vAlign w:val="center"/>
            <w:hideMark/>
          </w:tcPr>
          <w:p w14:paraId="395061FA" w14:textId="77777777" w:rsidR="005E1205" w:rsidRPr="00BB7DB2" w:rsidRDefault="005E1205" w:rsidP="00296B6A">
            <w:pPr>
              <w:tabs>
                <w:tab w:val="left" w:pos="366"/>
              </w:tabs>
              <w:jc w:val="right"/>
              <w:rPr>
                <w:rFonts w:ascii="Arial" w:hAnsi="Arial" w:cs="Arial"/>
                <w:sz w:val="12"/>
                <w:szCs w:val="12"/>
              </w:rPr>
            </w:pPr>
            <w:r>
              <w:rPr>
                <w:rFonts w:ascii="Arial" w:hAnsi="Arial" w:cs="Arial"/>
                <w:sz w:val="12"/>
                <w:szCs w:val="12"/>
              </w:rPr>
              <w:t xml:space="preserve">    </w:t>
            </w:r>
            <w:r w:rsidRPr="00BB7DB2">
              <w:rPr>
                <w:rFonts w:ascii="Arial" w:hAnsi="Arial" w:cs="Arial"/>
                <w:sz w:val="12"/>
                <w:szCs w:val="12"/>
              </w:rPr>
              <w:t>38,722,676,730.00</w:t>
            </w:r>
          </w:p>
        </w:tc>
        <w:tc>
          <w:tcPr>
            <w:tcW w:w="1275" w:type="dxa"/>
            <w:shd w:val="clear" w:color="auto" w:fill="auto"/>
            <w:noWrap/>
            <w:vAlign w:val="center"/>
            <w:hideMark/>
          </w:tcPr>
          <w:p w14:paraId="5BCB759B" w14:textId="77777777" w:rsidR="005E1205" w:rsidRPr="00BB7DB2" w:rsidRDefault="005E1205" w:rsidP="00296B6A">
            <w:pPr>
              <w:tabs>
                <w:tab w:val="left" w:pos="366"/>
              </w:tabs>
              <w:jc w:val="right"/>
              <w:rPr>
                <w:rFonts w:ascii="Arial" w:hAnsi="Arial" w:cs="Arial"/>
                <w:sz w:val="12"/>
                <w:szCs w:val="12"/>
              </w:rPr>
            </w:pPr>
            <w:r w:rsidRPr="00BB7DB2">
              <w:rPr>
                <w:rFonts w:ascii="Arial" w:hAnsi="Arial" w:cs="Arial"/>
                <w:sz w:val="12"/>
                <w:szCs w:val="12"/>
              </w:rPr>
              <w:t>39,661,637,567.00</w:t>
            </w:r>
          </w:p>
        </w:tc>
        <w:tc>
          <w:tcPr>
            <w:tcW w:w="1282" w:type="dxa"/>
            <w:shd w:val="clear" w:color="auto" w:fill="auto"/>
            <w:noWrap/>
            <w:vAlign w:val="center"/>
            <w:hideMark/>
          </w:tcPr>
          <w:p w14:paraId="276BA795" w14:textId="77777777" w:rsidR="005E1205" w:rsidRPr="00BB7DB2" w:rsidRDefault="005E1205" w:rsidP="00296B6A">
            <w:pPr>
              <w:tabs>
                <w:tab w:val="left" w:pos="366"/>
              </w:tabs>
              <w:jc w:val="right"/>
              <w:rPr>
                <w:rFonts w:ascii="Arial" w:hAnsi="Arial" w:cs="Arial"/>
                <w:sz w:val="12"/>
                <w:szCs w:val="12"/>
              </w:rPr>
            </w:pPr>
            <w:r w:rsidRPr="00BB7DB2">
              <w:rPr>
                <w:rFonts w:ascii="Arial" w:hAnsi="Arial" w:cs="Arial"/>
                <w:sz w:val="12"/>
                <w:szCs w:val="12"/>
              </w:rPr>
              <w:t>41,031,035,962.00</w:t>
            </w:r>
          </w:p>
        </w:tc>
      </w:tr>
      <w:tr w:rsidR="005E1205" w:rsidRPr="00BB7DB2" w14:paraId="6CD67EF1" w14:textId="77777777" w:rsidTr="00296B6A">
        <w:trPr>
          <w:trHeight w:val="319"/>
        </w:trPr>
        <w:tc>
          <w:tcPr>
            <w:tcW w:w="1560" w:type="dxa"/>
            <w:shd w:val="clear" w:color="auto" w:fill="auto"/>
            <w:vAlign w:val="center"/>
            <w:hideMark/>
          </w:tcPr>
          <w:p w14:paraId="336D76D0" w14:textId="77777777" w:rsidR="005E1205" w:rsidRPr="005175AC" w:rsidRDefault="005E1205" w:rsidP="00296B6A">
            <w:pPr>
              <w:ind w:right="277"/>
              <w:rPr>
                <w:rFonts w:ascii="Arial" w:hAnsi="Arial" w:cs="Arial"/>
                <w:color w:val="000000"/>
                <w:sz w:val="12"/>
                <w:szCs w:val="12"/>
                <w:lang w:eastAsia="es-MX"/>
              </w:rPr>
            </w:pPr>
            <w:r w:rsidRPr="005175AC">
              <w:rPr>
                <w:rFonts w:ascii="Arial" w:hAnsi="Arial" w:cs="Arial"/>
                <w:color w:val="000000"/>
                <w:sz w:val="12"/>
                <w:szCs w:val="12"/>
                <w:lang w:eastAsia="es-MX"/>
              </w:rPr>
              <w:t>A. Impuestos</w:t>
            </w:r>
          </w:p>
        </w:tc>
        <w:tc>
          <w:tcPr>
            <w:tcW w:w="1276" w:type="dxa"/>
            <w:shd w:val="clear" w:color="auto" w:fill="auto"/>
            <w:noWrap/>
            <w:vAlign w:val="center"/>
            <w:hideMark/>
          </w:tcPr>
          <w:p w14:paraId="0973E73A" w14:textId="77777777" w:rsidR="005E1205" w:rsidRPr="005175AC" w:rsidRDefault="005E1205" w:rsidP="00296B6A">
            <w:pPr>
              <w:rPr>
                <w:rFonts w:ascii="Arial" w:hAnsi="Arial" w:cs="Arial"/>
                <w:color w:val="000000"/>
                <w:sz w:val="12"/>
                <w:szCs w:val="12"/>
                <w:lang w:eastAsia="es-MX"/>
              </w:rPr>
            </w:pPr>
            <w:r>
              <w:rPr>
                <w:rFonts w:ascii="Arial" w:hAnsi="Arial" w:cs="Arial"/>
                <w:sz w:val="12"/>
                <w:szCs w:val="12"/>
              </w:rPr>
              <w:t xml:space="preserve">      </w:t>
            </w:r>
            <w:r w:rsidRPr="005175AC">
              <w:rPr>
                <w:rFonts w:ascii="Arial" w:hAnsi="Arial" w:cs="Arial"/>
                <w:sz w:val="12"/>
                <w:szCs w:val="12"/>
              </w:rPr>
              <w:t>2,637,529,850.00</w:t>
            </w:r>
          </w:p>
        </w:tc>
        <w:tc>
          <w:tcPr>
            <w:tcW w:w="1272" w:type="dxa"/>
            <w:shd w:val="clear" w:color="auto" w:fill="auto"/>
            <w:noWrap/>
            <w:vAlign w:val="center"/>
            <w:hideMark/>
          </w:tcPr>
          <w:p w14:paraId="3E7A517F" w14:textId="77777777" w:rsidR="005E1205" w:rsidRPr="005175AC" w:rsidRDefault="005E1205" w:rsidP="00296B6A">
            <w:pPr>
              <w:tabs>
                <w:tab w:val="left" w:pos="366"/>
              </w:tabs>
              <w:rPr>
                <w:rFonts w:ascii="Arial" w:hAnsi="Arial" w:cs="Arial"/>
                <w:sz w:val="12"/>
                <w:szCs w:val="12"/>
              </w:rPr>
            </w:pPr>
            <w:r>
              <w:rPr>
                <w:rFonts w:ascii="Arial" w:hAnsi="Arial" w:cs="Arial"/>
                <w:sz w:val="12"/>
                <w:szCs w:val="12"/>
              </w:rPr>
              <w:t xml:space="preserve">     </w:t>
            </w:r>
            <w:r w:rsidRPr="005175AC">
              <w:rPr>
                <w:rFonts w:ascii="Arial" w:hAnsi="Arial" w:cs="Arial"/>
                <w:sz w:val="12"/>
                <w:szCs w:val="12"/>
              </w:rPr>
              <w:t>2,766,378,128.00</w:t>
            </w:r>
          </w:p>
        </w:tc>
        <w:tc>
          <w:tcPr>
            <w:tcW w:w="1276" w:type="dxa"/>
            <w:shd w:val="clear" w:color="auto" w:fill="auto"/>
            <w:noWrap/>
            <w:vAlign w:val="center"/>
            <w:hideMark/>
          </w:tcPr>
          <w:p w14:paraId="75953C2A" w14:textId="77777777" w:rsidR="005E1205" w:rsidRPr="005175AC" w:rsidRDefault="005E1205" w:rsidP="00296B6A">
            <w:pPr>
              <w:tabs>
                <w:tab w:val="left" w:pos="366"/>
              </w:tabs>
              <w:rPr>
                <w:rFonts w:ascii="Arial" w:hAnsi="Arial" w:cs="Arial"/>
                <w:sz w:val="12"/>
                <w:szCs w:val="12"/>
              </w:rPr>
            </w:pPr>
            <w:r>
              <w:rPr>
                <w:rFonts w:ascii="Arial" w:hAnsi="Arial" w:cs="Arial"/>
                <w:sz w:val="12"/>
                <w:szCs w:val="12"/>
              </w:rPr>
              <w:t xml:space="preserve">     </w:t>
            </w:r>
            <w:r w:rsidRPr="005175AC">
              <w:rPr>
                <w:rFonts w:ascii="Arial" w:hAnsi="Arial" w:cs="Arial"/>
                <w:sz w:val="12"/>
                <w:szCs w:val="12"/>
              </w:rPr>
              <w:t>2,835,537,582.00</w:t>
            </w:r>
          </w:p>
        </w:tc>
        <w:tc>
          <w:tcPr>
            <w:tcW w:w="1421" w:type="dxa"/>
            <w:shd w:val="clear" w:color="auto" w:fill="auto"/>
            <w:noWrap/>
            <w:vAlign w:val="center"/>
            <w:hideMark/>
          </w:tcPr>
          <w:p w14:paraId="79321EF3" w14:textId="77777777" w:rsidR="005E1205" w:rsidRPr="005175AC" w:rsidRDefault="005E1205" w:rsidP="00296B6A">
            <w:pPr>
              <w:tabs>
                <w:tab w:val="left" w:pos="366"/>
              </w:tabs>
              <w:jc w:val="right"/>
              <w:rPr>
                <w:rFonts w:ascii="Arial" w:hAnsi="Arial" w:cs="Arial"/>
                <w:sz w:val="12"/>
                <w:szCs w:val="12"/>
              </w:rPr>
            </w:pPr>
            <w:r>
              <w:rPr>
                <w:rFonts w:ascii="Arial" w:hAnsi="Arial" w:cs="Arial"/>
                <w:sz w:val="12"/>
                <w:szCs w:val="12"/>
              </w:rPr>
              <w:t xml:space="preserve">     </w:t>
            </w:r>
            <w:r w:rsidRPr="005175AC">
              <w:rPr>
                <w:rFonts w:ascii="Arial" w:hAnsi="Arial" w:cs="Arial"/>
                <w:sz w:val="12"/>
                <w:szCs w:val="12"/>
              </w:rPr>
              <w:t>2,906,426,022.00</w:t>
            </w:r>
          </w:p>
        </w:tc>
        <w:tc>
          <w:tcPr>
            <w:tcW w:w="1275" w:type="dxa"/>
            <w:shd w:val="clear" w:color="auto" w:fill="auto"/>
            <w:noWrap/>
            <w:vAlign w:val="center"/>
            <w:hideMark/>
          </w:tcPr>
          <w:p w14:paraId="12DA4EAF" w14:textId="77777777" w:rsidR="005E1205" w:rsidRPr="005175AC" w:rsidRDefault="005E1205" w:rsidP="00296B6A">
            <w:pPr>
              <w:tabs>
                <w:tab w:val="left" w:pos="366"/>
              </w:tabs>
              <w:jc w:val="right"/>
              <w:rPr>
                <w:rFonts w:ascii="Arial" w:hAnsi="Arial" w:cs="Arial"/>
                <w:sz w:val="12"/>
                <w:szCs w:val="12"/>
              </w:rPr>
            </w:pPr>
            <w:r w:rsidRPr="005175AC">
              <w:rPr>
                <w:rFonts w:ascii="Arial" w:hAnsi="Arial" w:cs="Arial"/>
                <w:sz w:val="12"/>
                <w:szCs w:val="12"/>
              </w:rPr>
              <w:t>2,979,086,672.00</w:t>
            </w:r>
          </w:p>
        </w:tc>
        <w:tc>
          <w:tcPr>
            <w:tcW w:w="1282" w:type="dxa"/>
            <w:shd w:val="clear" w:color="auto" w:fill="auto"/>
            <w:noWrap/>
            <w:vAlign w:val="center"/>
            <w:hideMark/>
          </w:tcPr>
          <w:p w14:paraId="5C095388" w14:textId="77777777" w:rsidR="005E1205" w:rsidRPr="005175AC" w:rsidRDefault="005E1205" w:rsidP="00296B6A">
            <w:pPr>
              <w:tabs>
                <w:tab w:val="left" w:pos="366"/>
              </w:tabs>
              <w:jc w:val="right"/>
              <w:rPr>
                <w:rFonts w:ascii="Arial" w:hAnsi="Arial" w:cs="Arial"/>
                <w:sz w:val="12"/>
                <w:szCs w:val="12"/>
              </w:rPr>
            </w:pPr>
            <w:r w:rsidRPr="005175AC">
              <w:rPr>
                <w:rFonts w:ascii="Arial" w:hAnsi="Arial" w:cs="Arial"/>
                <w:sz w:val="12"/>
                <w:szCs w:val="12"/>
              </w:rPr>
              <w:t>3,083,354,705.00</w:t>
            </w:r>
          </w:p>
        </w:tc>
      </w:tr>
      <w:tr w:rsidR="005E1205" w:rsidRPr="00BB7DB2" w14:paraId="432185AD" w14:textId="77777777" w:rsidTr="00296B6A">
        <w:trPr>
          <w:trHeight w:val="640"/>
        </w:trPr>
        <w:tc>
          <w:tcPr>
            <w:tcW w:w="1560" w:type="dxa"/>
            <w:shd w:val="clear" w:color="auto" w:fill="auto"/>
            <w:vAlign w:val="center"/>
            <w:hideMark/>
          </w:tcPr>
          <w:p w14:paraId="7BD0CB06"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B. Cuotas y Aportaciones de Seguridad Social</w:t>
            </w:r>
          </w:p>
        </w:tc>
        <w:tc>
          <w:tcPr>
            <w:tcW w:w="1276" w:type="dxa"/>
            <w:shd w:val="clear" w:color="auto" w:fill="auto"/>
            <w:noWrap/>
            <w:vAlign w:val="center"/>
            <w:hideMark/>
          </w:tcPr>
          <w:p w14:paraId="14099F8A"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2" w:type="dxa"/>
            <w:shd w:val="clear" w:color="auto" w:fill="auto"/>
            <w:noWrap/>
            <w:vAlign w:val="center"/>
            <w:hideMark/>
          </w:tcPr>
          <w:p w14:paraId="503A3C6F"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6" w:type="dxa"/>
            <w:shd w:val="clear" w:color="auto" w:fill="auto"/>
            <w:noWrap/>
            <w:vAlign w:val="center"/>
            <w:hideMark/>
          </w:tcPr>
          <w:p w14:paraId="652D5D37"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421" w:type="dxa"/>
            <w:shd w:val="clear" w:color="auto" w:fill="auto"/>
            <w:noWrap/>
            <w:vAlign w:val="center"/>
            <w:hideMark/>
          </w:tcPr>
          <w:p w14:paraId="185E0098"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5" w:type="dxa"/>
            <w:shd w:val="clear" w:color="auto" w:fill="auto"/>
            <w:noWrap/>
            <w:vAlign w:val="center"/>
            <w:hideMark/>
          </w:tcPr>
          <w:p w14:paraId="69497320"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82" w:type="dxa"/>
            <w:shd w:val="clear" w:color="auto" w:fill="auto"/>
            <w:noWrap/>
            <w:vAlign w:val="center"/>
            <w:hideMark/>
          </w:tcPr>
          <w:p w14:paraId="41D27D66"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5E1205" w:rsidRPr="00BB7DB2" w14:paraId="7C77FC09" w14:textId="77777777" w:rsidTr="00296B6A">
        <w:trPr>
          <w:trHeight w:val="319"/>
        </w:trPr>
        <w:tc>
          <w:tcPr>
            <w:tcW w:w="1560" w:type="dxa"/>
            <w:shd w:val="clear" w:color="auto" w:fill="auto"/>
            <w:vAlign w:val="center"/>
            <w:hideMark/>
          </w:tcPr>
          <w:p w14:paraId="78120C98"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C. Contribuciones de Mejoras</w:t>
            </w:r>
          </w:p>
        </w:tc>
        <w:tc>
          <w:tcPr>
            <w:tcW w:w="1276" w:type="dxa"/>
            <w:shd w:val="clear" w:color="auto" w:fill="auto"/>
            <w:noWrap/>
            <w:vAlign w:val="center"/>
            <w:hideMark/>
          </w:tcPr>
          <w:p w14:paraId="677A1FBF"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30,446,979.00</w:t>
            </w:r>
          </w:p>
        </w:tc>
        <w:tc>
          <w:tcPr>
            <w:tcW w:w="1272" w:type="dxa"/>
            <w:shd w:val="clear" w:color="auto" w:fill="auto"/>
            <w:noWrap/>
            <w:vAlign w:val="center"/>
            <w:hideMark/>
          </w:tcPr>
          <w:p w14:paraId="5320DE64"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31,139,529.00</w:t>
            </w:r>
          </w:p>
        </w:tc>
        <w:tc>
          <w:tcPr>
            <w:tcW w:w="1276" w:type="dxa"/>
            <w:shd w:val="clear" w:color="auto" w:fill="auto"/>
            <w:noWrap/>
            <w:vAlign w:val="center"/>
            <w:hideMark/>
          </w:tcPr>
          <w:p w14:paraId="2F0093C5"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31,958,092.00</w:t>
            </w:r>
          </w:p>
        </w:tc>
        <w:tc>
          <w:tcPr>
            <w:tcW w:w="1421" w:type="dxa"/>
            <w:shd w:val="clear" w:color="auto" w:fill="auto"/>
            <w:noWrap/>
            <w:vAlign w:val="center"/>
            <w:hideMark/>
          </w:tcPr>
          <w:p w14:paraId="4431C68E"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32,793,383.00</w:t>
            </w:r>
          </w:p>
        </w:tc>
        <w:tc>
          <w:tcPr>
            <w:tcW w:w="1275" w:type="dxa"/>
            <w:shd w:val="clear" w:color="auto" w:fill="auto"/>
            <w:noWrap/>
            <w:vAlign w:val="center"/>
            <w:hideMark/>
          </w:tcPr>
          <w:p w14:paraId="449B1532"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33,269,739.00</w:t>
            </w:r>
          </w:p>
        </w:tc>
        <w:tc>
          <w:tcPr>
            <w:tcW w:w="1282" w:type="dxa"/>
            <w:shd w:val="clear" w:color="auto" w:fill="auto"/>
            <w:noWrap/>
            <w:vAlign w:val="center"/>
            <w:hideMark/>
          </w:tcPr>
          <w:p w14:paraId="0C88F051"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34,511,996.00</w:t>
            </w:r>
          </w:p>
        </w:tc>
      </w:tr>
      <w:tr w:rsidR="005E1205" w:rsidRPr="00BB7DB2" w14:paraId="091F9B2D" w14:textId="77777777" w:rsidTr="00296B6A">
        <w:trPr>
          <w:trHeight w:val="319"/>
        </w:trPr>
        <w:tc>
          <w:tcPr>
            <w:tcW w:w="1560" w:type="dxa"/>
            <w:shd w:val="clear" w:color="auto" w:fill="auto"/>
            <w:vAlign w:val="center"/>
            <w:hideMark/>
          </w:tcPr>
          <w:p w14:paraId="220CD058"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D. Derechos</w:t>
            </w:r>
          </w:p>
        </w:tc>
        <w:tc>
          <w:tcPr>
            <w:tcW w:w="1276" w:type="dxa"/>
            <w:shd w:val="clear" w:color="auto" w:fill="auto"/>
            <w:noWrap/>
            <w:vAlign w:val="center"/>
            <w:hideMark/>
          </w:tcPr>
          <w:p w14:paraId="60A1892C"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1,427,593,516.00</w:t>
            </w:r>
          </w:p>
        </w:tc>
        <w:tc>
          <w:tcPr>
            <w:tcW w:w="1272" w:type="dxa"/>
            <w:shd w:val="clear" w:color="auto" w:fill="auto"/>
            <w:noWrap/>
            <w:vAlign w:val="center"/>
            <w:hideMark/>
          </w:tcPr>
          <w:p w14:paraId="30184895"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1,477,559,289.00</w:t>
            </w:r>
          </w:p>
        </w:tc>
        <w:tc>
          <w:tcPr>
            <w:tcW w:w="1276" w:type="dxa"/>
            <w:shd w:val="clear" w:color="auto" w:fill="auto"/>
            <w:noWrap/>
            <w:vAlign w:val="center"/>
            <w:hideMark/>
          </w:tcPr>
          <w:p w14:paraId="2EA54FAD"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1,521,886,068.00</w:t>
            </w:r>
          </w:p>
        </w:tc>
        <w:tc>
          <w:tcPr>
            <w:tcW w:w="1421" w:type="dxa"/>
            <w:shd w:val="clear" w:color="auto" w:fill="auto"/>
            <w:noWrap/>
            <w:vAlign w:val="center"/>
            <w:hideMark/>
          </w:tcPr>
          <w:p w14:paraId="16EE67A2"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1,559,076,471.00</w:t>
            </w:r>
          </w:p>
        </w:tc>
        <w:tc>
          <w:tcPr>
            <w:tcW w:w="1275" w:type="dxa"/>
            <w:shd w:val="clear" w:color="auto" w:fill="auto"/>
            <w:noWrap/>
            <w:vAlign w:val="center"/>
            <w:hideMark/>
          </w:tcPr>
          <w:p w14:paraId="530A65C7"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1,595,876,408.00</w:t>
            </w:r>
          </w:p>
        </w:tc>
        <w:tc>
          <w:tcPr>
            <w:tcW w:w="1282" w:type="dxa"/>
            <w:shd w:val="clear" w:color="auto" w:fill="auto"/>
            <w:noWrap/>
            <w:vAlign w:val="center"/>
            <w:hideMark/>
          </w:tcPr>
          <w:p w14:paraId="50EF5869"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1,651,732,082.00</w:t>
            </w:r>
          </w:p>
        </w:tc>
      </w:tr>
      <w:tr w:rsidR="005E1205" w:rsidRPr="00BB7DB2" w14:paraId="6B29AC53" w14:textId="77777777" w:rsidTr="00296B6A">
        <w:trPr>
          <w:trHeight w:val="319"/>
        </w:trPr>
        <w:tc>
          <w:tcPr>
            <w:tcW w:w="1560" w:type="dxa"/>
            <w:shd w:val="clear" w:color="auto" w:fill="auto"/>
            <w:vAlign w:val="center"/>
            <w:hideMark/>
          </w:tcPr>
          <w:p w14:paraId="1C90B776"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E. Productos</w:t>
            </w:r>
          </w:p>
        </w:tc>
        <w:tc>
          <w:tcPr>
            <w:tcW w:w="1276" w:type="dxa"/>
            <w:shd w:val="clear" w:color="auto" w:fill="auto"/>
            <w:noWrap/>
            <w:vAlign w:val="center"/>
            <w:hideMark/>
          </w:tcPr>
          <w:p w14:paraId="76DAE07D"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669,248,413.00</w:t>
            </w:r>
          </w:p>
        </w:tc>
        <w:tc>
          <w:tcPr>
            <w:tcW w:w="1272" w:type="dxa"/>
            <w:shd w:val="clear" w:color="auto" w:fill="auto"/>
            <w:noWrap/>
            <w:vAlign w:val="center"/>
            <w:hideMark/>
          </w:tcPr>
          <w:p w14:paraId="45E30535"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677,621,847.00</w:t>
            </w:r>
          </w:p>
        </w:tc>
        <w:tc>
          <w:tcPr>
            <w:tcW w:w="1276" w:type="dxa"/>
            <w:shd w:val="clear" w:color="auto" w:fill="auto"/>
            <w:noWrap/>
            <w:vAlign w:val="center"/>
            <w:hideMark/>
          </w:tcPr>
          <w:p w14:paraId="314BAE60"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683,720,444.00</w:t>
            </w:r>
          </w:p>
        </w:tc>
        <w:tc>
          <w:tcPr>
            <w:tcW w:w="1421" w:type="dxa"/>
            <w:shd w:val="clear" w:color="auto" w:fill="auto"/>
            <w:noWrap/>
            <w:vAlign w:val="center"/>
            <w:hideMark/>
          </w:tcPr>
          <w:p w14:paraId="3F6D76D6"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690,224,994.00</w:t>
            </w:r>
          </w:p>
        </w:tc>
        <w:tc>
          <w:tcPr>
            <w:tcW w:w="1275" w:type="dxa"/>
            <w:shd w:val="clear" w:color="auto" w:fill="auto"/>
            <w:noWrap/>
            <w:vAlign w:val="center"/>
            <w:hideMark/>
          </w:tcPr>
          <w:p w14:paraId="6574C10A"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697,732,903.00</w:t>
            </w:r>
          </w:p>
        </w:tc>
        <w:tc>
          <w:tcPr>
            <w:tcW w:w="1282" w:type="dxa"/>
            <w:shd w:val="clear" w:color="auto" w:fill="auto"/>
            <w:noWrap/>
            <w:vAlign w:val="center"/>
            <w:hideMark/>
          </w:tcPr>
          <w:p w14:paraId="4B1E798B"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705,334,390.00</w:t>
            </w:r>
          </w:p>
        </w:tc>
      </w:tr>
      <w:tr w:rsidR="005E1205" w:rsidRPr="00BB7DB2" w14:paraId="7377A805" w14:textId="77777777" w:rsidTr="00296B6A">
        <w:trPr>
          <w:trHeight w:val="319"/>
        </w:trPr>
        <w:tc>
          <w:tcPr>
            <w:tcW w:w="1560" w:type="dxa"/>
            <w:shd w:val="clear" w:color="auto" w:fill="auto"/>
            <w:vAlign w:val="center"/>
            <w:hideMark/>
          </w:tcPr>
          <w:p w14:paraId="38C4DC65"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F. Aprovechamientos</w:t>
            </w:r>
          </w:p>
        </w:tc>
        <w:tc>
          <w:tcPr>
            <w:tcW w:w="1276" w:type="dxa"/>
            <w:shd w:val="clear" w:color="auto" w:fill="auto"/>
            <w:noWrap/>
            <w:vAlign w:val="center"/>
            <w:hideMark/>
          </w:tcPr>
          <w:p w14:paraId="7347EC6D"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186,958,932.00</w:t>
            </w:r>
          </w:p>
        </w:tc>
        <w:tc>
          <w:tcPr>
            <w:tcW w:w="1272" w:type="dxa"/>
            <w:shd w:val="clear" w:color="auto" w:fill="auto"/>
            <w:noWrap/>
            <w:vAlign w:val="center"/>
            <w:hideMark/>
          </w:tcPr>
          <w:p w14:paraId="2945F45B"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189,648,201.00</w:t>
            </w:r>
          </w:p>
        </w:tc>
        <w:tc>
          <w:tcPr>
            <w:tcW w:w="1276" w:type="dxa"/>
            <w:shd w:val="clear" w:color="auto" w:fill="auto"/>
            <w:noWrap/>
            <w:vAlign w:val="center"/>
            <w:hideMark/>
          </w:tcPr>
          <w:p w14:paraId="7BBC0A1E"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194,301,254.00</w:t>
            </w:r>
          </w:p>
        </w:tc>
        <w:tc>
          <w:tcPr>
            <w:tcW w:w="1421" w:type="dxa"/>
            <w:shd w:val="clear" w:color="auto" w:fill="auto"/>
            <w:noWrap/>
            <w:vAlign w:val="center"/>
            <w:hideMark/>
          </w:tcPr>
          <w:p w14:paraId="77DD108A"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199,049,403.00</w:t>
            </w:r>
          </w:p>
        </w:tc>
        <w:tc>
          <w:tcPr>
            <w:tcW w:w="1275" w:type="dxa"/>
            <w:shd w:val="clear" w:color="auto" w:fill="auto"/>
            <w:noWrap/>
            <w:vAlign w:val="center"/>
            <w:hideMark/>
          </w:tcPr>
          <w:p w14:paraId="76D070D8"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201,757,207.00</w:t>
            </w:r>
          </w:p>
        </w:tc>
        <w:tc>
          <w:tcPr>
            <w:tcW w:w="1282" w:type="dxa"/>
            <w:shd w:val="clear" w:color="auto" w:fill="auto"/>
            <w:noWrap/>
            <w:vAlign w:val="center"/>
            <w:hideMark/>
          </w:tcPr>
          <w:p w14:paraId="35861245"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206,801,138.00</w:t>
            </w:r>
          </w:p>
        </w:tc>
      </w:tr>
      <w:tr w:rsidR="005E1205" w:rsidRPr="00BB7DB2" w14:paraId="1F6A5B97" w14:textId="77777777" w:rsidTr="00296B6A">
        <w:trPr>
          <w:trHeight w:val="640"/>
        </w:trPr>
        <w:tc>
          <w:tcPr>
            <w:tcW w:w="1560" w:type="dxa"/>
            <w:shd w:val="clear" w:color="auto" w:fill="auto"/>
            <w:vAlign w:val="center"/>
            <w:hideMark/>
          </w:tcPr>
          <w:p w14:paraId="5075C88B"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G. Ingresos por Ventas de Bienes y Servicios</w:t>
            </w:r>
          </w:p>
        </w:tc>
        <w:tc>
          <w:tcPr>
            <w:tcW w:w="1276" w:type="dxa"/>
            <w:shd w:val="clear" w:color="auto" w:fill="auto"/>
            <w:noWrap/>
            <w:vAlign w:val="center"/>
            <w:hideMark/>
          </w:tcPr>
          <w:p w14:paraId="519B58BB"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2,513,734,110.00</w:t>
            </w:r>
          </w:p>
        </w:tc>
        <w:tc>
          <w:tcPr>
            <w:tcW w:w="1272" w:type="dxa"/>
            <w:shd w:val="clear" w:color="auto" w:fill="auto"/>
            <w:noWrap/>
            <w:vAlign w:val="center"/>
            <w:hideMark/>
          </w:tcPr>
          <w:p w14:paraId="4FA7EEC6"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2,619,351,017.00</w:t>
            </w:r>
          </w:p>
        </w:tc>
        <w:tc>
          <w:tcPr>
            <w:tcW w:w="1276" w:type="dxa"/>
            <w:shd w:val="clear" w:color="auto" w:fill="auto"/>
            <w:noWrap/>
            <w:vAlign w:val="center"/>
            <w:hideMark/>
          </w:tcPr>
          <w:p w14:paraId="788010E5"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2,711,028,302.00</w:t>
            </w:r>
          </w:p>
        </w:tc>
        <w:tc>
          <w:tcPr>
            <w:tcW w:w="1421" w:type="dxa"/>
            <w:shd w:val="clear" w:color="auto" w:fill="auto"/>
            <w:noWrap/>
            <w:vAlign w:val="center"/>
            <w:hideMark/>
          </w:tcPr>
          <w:p w14:paraId="641521C4"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2,805,914,293.00</w:t>
            </w:r>
          </w:p>
        </w:tc>
        <w:tc>
          <w:tcPr>
            <w:tcW w:w="1275" w:type="dxa"/>
            <w:shd w:val="clear" w:color="auto" w:fill="auto"/>
            <w:noWrap/>
            <w:vAlign w:val="center"/>
            <w:hideMark/>
          </w:tcPr>
          <w:p w14:paraId="19BD50B8"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2,904,121,293.00</w:t>
            </w:r>
          </w:p>
        </w:tc>
        <w:tc>
          <w:tcPr>
            <w:tcW w:w="1282" w:type="dxa"/>
            <w:shd w:val="clear" w:color="auto" w:fill="auto"/>
            <w:noWrap/>
            <w:vAlign w:val="center"/>
            <w:hideMark/>
          </w:tcPr>
          <w:p w14:paraId="0ECE67A2"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3,005,765,539.00</w:t>
            </w:r>
          </w:p>
        </w:tc>
      </w:tr>
      <w:tr w:rsidR="005E1205" w:rsidRPr="00BB7DB2" w14:paraId="7C7AAC88" w14:textId="77777777" w:rsidTr="00296B6A">
        <w:trPr>
          <w:trHeight w:val="319"/>
        </w:trPr>
        <w:tc>
          <w:tcPr>
            <w:tcW w:w="1560" w:type="dxa"/>
            <w:shd w:val="clear" w:color="auto" w:fill="auto"/>
            <w:vAlign w:val="center"/>
            <w:hideMark/>
          </w:tcPr>
          <w:p w14:paraId="4E486A00"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H. Participaciones</w:t>
            </w:r>
          </w:p>
        </w:tc>
        <w:tc>
          <w:tcPr>
            <w:tcW w:w="1276" w:type="dxa"/>
            <w:shd w:val="clear" w:color="auto" w:fill="auto"/>
            <w:noWrap/>
            <w:vAlign w:val="center"/>
            <w:hideMark/>
          </w:tcPr>
          <w:p w14:paraId="4B175A0A"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27,358,679,765.00</w:t>
            </w:r>
          </w:p>
        </w:tc>
        <w:tc>
          <w:tcPr>
            <w:tcW w:w="1272" w:type="dxa"/>
            <w:shd w:val="clear" w:color="auto" w:fill="auto"/>
            <w:noWrap/>
            <w:vAlign w:val="center"/>
            <w:hideMark/>
          </w:tcPr>
          <w:p w14:paraId="59E61BE1"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28,316,233,557.00</w:t>
            </w:r>
          </w:p>
        </w:tc>
        <w:tc>
          <w:tcPr>
            <w:tcW w:w="1276" w:type="dxa"/>
            <w:shd w:val="clear" w:color="auto" w:fill="auto"/>
            <w:noWrap/>
            <w:vAlign w:val="center"/>
            <w:hideMark/>
          </w:tcPr>
          <w:p w14:paraId="6BC8764E"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29,165,720,564.00</w:t>
            </w:r>
          </w:p>
        </w:tc>
        <w:tc>
          <w:tcPr>
            <w:tcW w:w="1421" w:type="dxa"/>
            <w:shd w:val="clear" w:color="auto" w:fill="auto"/>
            <w:noWrap/>
            <w:vAlign w:val="center"/>
            <w:hideMark/>
          </w:tcPr>
          <w:p w14:paraId="046F79F0"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29,878,444,680.00</w:t>
            </w:r>
          </w:p>
        </w:tc>
        <w:tc>
          <w:tcPr>
            <w:tcW w:w="1275" w:type="dxa"/>
            <w:shd w:val="clear" w:color="auto" w:fill="auto"/>
            <w:noWrap/>
            <w:vAlign w:val="center"/>
            <w:hideMark/>
          </w:tcPr>
          <w:p w14:paraId="43A5995F"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30,583,685,828.00</w:t>
            </w:r>
          </w:p>
        </w:tc>
        <w:tc>
          <w:tcPr>
            <w:tcW w:w="1282" w:type="dxa"/>
            <w:shd w:val="clear" w:color="auto" w:fill="auto"/>
            <w:noWrap/>
            <w:vAlign w:val="center"/>
            <w:hideMark/>
          </w:tcPr>
          <w:p w14:paraId="42F9994B"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31,654,114,832.00</w:t>
            </w:r>
          </w:p>
        </w:tc>
      </w:tr>
      <w:tr w:rsidR="005E1205" w:rsidRPr="00BB7DB2" w14:paraId="4839D0EB" w14:textId="77777777" w:rsidTr="00296B6A">
        <w:trPr>
          <w:trHeight w:val="640"/>
        </w:trPr>
        <w:tc>
          <w:tcPr>
            <w:tcW w:w="1560" w:type="dxa"/>
            <w:shd w:val="clear" w:color="auto" w:fill="auto"/>
            <w:vAlign w:val="center"/>
            <w:hideMark/>
          </w:tcPr>
          <w:p w14:paraId="0939D8E4"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I. Incentivos Derivados de la Colaboración Fiscal</w:t>
            </w:r>
          </w:p>
        </w:tc>
        <w:tc>
          <w:tcPr>
            <w:tcW w:w="1276" w:type="dxa"/>
            <w:shd w:val="clear" w:color="auto" w:fill="auto"/>
            <w:noWrap/>
            <w:vAlign w:val="center"/>
            <w:hideMark/>
          </w:tcPr>
          <w:p w14:paraId="0B42637F"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595,867,429.00</w:t>
            </w:r>
          </w:p>
        </w:tc>
        <w:tc>
          <w:tcPr>
            <w:tcW w:w="1272" w:type="dxa"/>
            <w:shd w:val="clear" w:color="auto" w:fill="auto"/>
            <w:noWrap/>
            <w:vAlign w:val="center"/>
            <w:hideMark/>
          </w:tcPr>
          <w:p w14:paraId="0CEFA940"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616,722,789.00</w:t>
            </w:r>
          </w:p>
        </w:tc>
        <w:tc>
          <w:tcPr>
            <w:tcW w:w="1276" w:type="dxa"/>
            <w:shd w:val="clear" w:color="auto" w:fill="auto"/>
            <w:noWrap/>
            <w:vAlign w:val="center"/>
            <w:hideMark/>
          </w:tcPr>
          <w:p w14:paraId="613CB2DF"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635,224,473.00</w:t>
            </w:r>
          </w:p>
        </w:tc>
        <w:tc>
          <w:tcPr>
            <w:tcW w:w="1421" w:type="dxa"/>
            <w:shd w:val="clear" w:color="auto" w:fill="auto"/>
            <w:noWrap/>
            <w:vAlign w:val="center"/>
            <w:hideMark/>
          </w:tcPr>
          <w:p w14:paraId="70A6FECF"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650,747,484.00</w:t>
            </w:r>
          </w:p>
        </w:tc>
        <w:tc>
          <w:tcPr>
            <w:tcW w:w="1275" w:type="dxa"/>
            <w:shd w:val="clear" w:color="auto" w:fill="auto"/>
            <w:noWrap/>
            <w:vAlign w:val="center"/>
            <w:hideMark/>
          </w:tcPr>
          <w:p w14:paraId="518A3752"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666,107,517.00</w:t>
            </w:r>
          </w:p>
        </w:tc>
        <w:tc>
          <w:tcPr>
            <w:tcW w:w="1282" w:type="dxa"/>
            <w:shd w:val="clear" w:color="auto" w:fill="auto"/>
            <w:noWrap/>
            <w:vAlign w:val="center"/>
            <w:hideMark/>
          </w:tcPr>
          <w:p w14:paraId="3E7922D3"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689,421,280.00</w:t>
            </w:r>
          </w:p>
        </w:tc>
      </w:tr>
      <w:tr w:rsidR="005E1205" w:rsidRPr="00BB7DB2" w14:paraId="14319BEA" w14:textId="77777777" w:rsidTr="00296B6A">
        <w:trPr>
          <w:trHeight w:val="319"/>
        </w:trPr>
        <w:tc>
          <w:tcPr>
            <w:tcW w:w="1560" w:type="dxa"/>
            <w:shd w:val="clear" w:color="auto" w:fill="auto"/>
            <w:vAlign w:val="center"/>
            <w:hideMark/>
          </w:tcPr>
          <w:p w14:paraId="6D10A029"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J. Transferencias</w:t>
            </w:r>
          </w:p>
        </w:tc>
        <w:tc>
          <w:tcPr>
            <w:tcW w:w="1276" w:type="dxa"/>
            <w:shd w:val="clear" w:color="auto" w:fill="auto"/>
            <w:noWrap/>
            <w:vAlign w:val="center"/>
            <w:hideMark/>
          </w:tcPr>
          <w:p w14:paraId="31DD281A"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2" w:type="dxa"/>
            <w:shd w:val="clear" w:color="auto" w:fill="auto"/>
            <w:noWrap/>
            <w:vAlign w:val="center"/>
            <w:hideMark/>
          </w:tcPr>
          <w:p w14:paraId="0C5833CE"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6" w:type="dxa"/>
            <w:shd w:val="clear" w:color="auto" w:fill="auto"/>
            <w:noWrap/>
            <w:vAlign w:val="center"/>
            <w:hideMark/>
          </w:tcPr>
          <w:p w14:paraId="2EC82ED1"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421" w:type="dxa"/>
            <w:shd w:val="clear" w:color="auto" w:fill="auto"/>
            <w:noWrap/>
            <w:vAlign w:val="center"/>
            <w:hideMark/>
          </w:tcPr>
          <w:p w14:paraId="50B8DE9E"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5" w:type="dxa"/>
            <w:shd w:val="clear" w:color="auto" w:fill="auto"/>
            <w:noWrap/>
            <w:vAlign w:val="center"/>
            <w:hideMark/>
          </w:tcPr>
          <w:p w14:paraId="5F41334E"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82" w:type="dxa"/>
            <w:shd w:val="clear" w:color="auto" w:fill="auto"/>
            <w:noWrap/>
            <w:vAlign w:val="center"/>
            <w:hideMark/>
          </w:tcPr>
          <w:p w14:paraId="635A245B"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5E1205" w:rsidRPr="00BB7DB2" w14:paraId="190D533F" w14:textId="77777777" w:rsidTr="00296B6A">
        <w:trPr>
          <w:trHeight w:val="319"/>
        </w:trPr>
        <w:tc>
          <w:tcPr>
            <w:tcW w:w="1560" w:type="dxa"/>
            <w:shd w:val="clear" w:color="auto" w:fill="auto"/>
            <w:vAlign w:val="center"/>
            <w:hideMark/>
          </w:tcPr>
          <w:p w14:paraId="4E372637"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K. Convenios</w:t>
            </w:r>
          </w:p>
        </w:tc>
        <w:tc>
          <w:tcPr>
            <w:tcW w:w="1276" w:type="dxa"/>
            <w:shd w:val="clear" w:color="auto" w:fill="auto"/>
            <w:noWrap/>
            <w:vAlign w:val="center"/>
            <w:hideMark/>
          </w:tcPr>
          <w:p w14:paraId="34C1ED63"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2" w:type="dxa"/>
            <w:shd w:val="clear" w:color="auto" w:fill="auto"/>
            <w:noWrap/>
            <w:vAlign w:val="center"/>
            <w:hideMark/>
          </w:tcPr>
          <w:p w14:paraId="0EBCCDE7"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6" w:type="dxa"/>
            <w:shd w:val="clear" w:color="auto" w:fill="auto"/>
            <w:noWrap/>
            <w:vAlign w:val="center"/>
            <w:hideMark/>
          </w:tcPr>
          <w:p w14:paraId="7C33CFB6"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421" w:type="dxa"/>
            <w:shd w:val="clear" w:color="auto" w:fill="auto"/>
            <w:noWrap/>
            <w:vAlign w:val="center"/>
            <w:hideMark/>
          </w:tcPr>
          <w:p w14:paraId="6AB46D2E"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5" w:type="dxa"/>
            <w:shd w:val="clear" w:color="auto" w:fill="auto"/>
            <w:noWrap/>
            <w:vAlign w:val="center"/>
            <w:hideMark/>
          </w:tcPr>
          <w:p w14:paraId="26CD657D"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82" w:type="dxa"/>
            <w:shd w:val="clear" w:color="auto" w:fill="auto"/>
            <w:noWrap/>
            <w:vAlign w:val="center"/>
            <w:hideMark/>
          </w:tcPr>
          <w:p w14:paraId="30BB35D7"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5E1205" w:rsidRPr="00BB7DB2" w14:paraId="764A0603" w14:textId="77777777" w:rsidTr="00296B6A">
        <w:trPr>
          <w:trHeight w:val="319"/>
        </w:trPr>
        <w:tc>
          <w:tcPr>
            <w:tcW w:w="1560" w:type="dxa"/>
            <w:shd w:val="clear" w:color="auto" w:fill="auto"/>
            <w:vAlign w:val="center"/>
            <w:hideMark/>
          </w:tcPr>
          <w:p w14:paraId="2F3F5F12"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L. Otros Ingresos de Libre Disposición</w:t>
            </w:r>
          </w:p>
        </w:tc>
        <w:tc>
          <w:tcPr>
            <w:tcW w:w="1276" w:type="dxa"/>
            <w:shd w:val="clear" w:color="auto" w:fill="auto"/>
            <w:noWrap/>
            <w:vAlign w:val="center"/>
            <w:hideMark/>
          </w:tcPr>
          <w:p w14:paraId="2D2EFE72"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2" w:type="dxa"/>
            <w:shd w:val="clear" w:color="auto" w:fill="auto"/>
            <w:noWrap/>
            <w:vAlign w:val="center"/>
            <w:hideMark/>
          </w:tcPr>
          <w:p w14:paraId="7EE42B22"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6" w:type="dxa"/>
            <w:shd w:val="clear" w:color="auto" w:fill="auto"/>
            <w:noWrap/>
            <w:vAlign w:val="center"/>
            <w:hideMark/>
          </w:tcPr>
          <w:p w14:paraId="1257C1BF"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421" w:type="dxa"/>
            <w:shd w:val="clear" w:color="auto" w:fill="auto"/>
            <w:noWrap/>
            <w:vAlign w:val="center"/>
            <w:hideMark/>
          </w:tcPr>
          <w:p w14:paraId="4BB082BE"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5" w:type="dxa"/>
            <w:shd w:val="clear" w:color="auto" w:fill="auto"/>
            <w:noWrap/>
            <w:vAlign w:val="center"/>
            <w:hideMark/>
          </w:tcPr>
          <w:p w14:paraId="4D94A25E"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82" w:type="dxa"/>
            <w:shd w:val="clear" w:color="auto" w:fill="auto"/>
            <w:noWrap/>
            <w:vAlign w:val="center"/>
            <w:hideMark/>
          </w:tcPr>
          <w:p w14:paraId="5A25C6D7"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5E1205" w:rsidRPr="00BB7DB2" w14:paraId="49661023" w14:textId="77777777" w:rsidTr="00296B6A">
        <w:trPr>
          <w:trHeight w:val="640"/>
        </w:trPr>
        <w:tc>
          <w:tcPr>
            <w:tcW w:w="1560" w:type="dxa"/>
            <w:shd w:val="clear" w:color="auto" w:fill="auto"/>
            <w:vAlign w:val="center"/>
            <w:hideMark/>
          </w:tcPr>
          <w:p w14:paraId="10D58E1D" w14:textId="77777777" w:rsidR="005E1205" w:rsidRPr="00CB2A3D" w:rsidRDefault="005E1205" w:rsidP="00296B6A">
            <w:pPr>
              <w:ind w:right="-67"/>
              <w:rPr>
                <w:rFonts w:ascii="Arial" w:hAnsi="Arial" w:cs="Arial"/>
                <w:color w:val="000000"/>
                <w:sz w:val="12"/>
                <w:szCs w:val="12"/>
                <w:lang w:val="pt-PT" w:eastAsia="es-MX"/>
              </w:rPr>
            </w:pPr>
            <w:r w:rsidRPr="00CB2A3D">
              <w:rPr>
                <w:rFonts w:ascii="Arial" w:hAnsi="Arial" w:cs="Arial"/>
                <w:color w:val="000000"/>
                <w:sz w:val="12"/>
                <w:szCs w:val="12"/>
                <w:lang w:val="pt-PT" w:eastAsia="es-MX"/>
              </w:rPr>
              <w:t>2.- Transferencias Federales Etiquetadas (2=A+B+C+D+E)</w:t>
            </w:r>
          </w:p>
        </w:tc>
        <w:tc>
          <w:tcPr>
            <w:tcW w:w="1276" w:type="dxa"/>
            <w:shd w:val="clear" w:color="auto" w:fill="auto"/>
            <w:noWrap/>
            <w:vAlign w:val="center"/>
            <w:hideMark/>
          </w:tcPr>
          <w:p w14:paraId="6BB9AD19"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35,619,496,302.00</w:t>
            </w:r>
          </w:p>
        </w:tc>
        <w:tc>
          <w:tcPr>
            <w:tcW w:w="1272" w:type="dxa"/>
            <w:shd w:val="clear" w:color="auto" w:fill="auto"/>
            <w:noWrap/>
            <w:vAlign w:val="center"/>
            <w:hideMark/>
          </w:tcPr>
          <w:p w14:paraId="4D328B9F"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36,801,629,618.00</w:t>
            </w:r>
          </w:p>
        </w:tc>
        <w:tc>
          <w:tcPr>
            <w:tcW w:w="1276" w:type="dxa"/>
            <w:shd w:val="clear" w:color="auto" w:fill="auto"/>
            <w:noWrap/>
            <w:vAlign w:val="center"/>
            <w:hideMark/>
          </w:tcPr>
          <w:p w14:paraId="27233033"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37,886,947,246.00</w:t>
            </w:r>
          </w:p>
        </w:tc>
        <w:tc>
          <w:tcPr>
            <w:tcW w:w="1421" w:type="dxa"/>
            <w:shd w:val="clear" w:color="auto" w:fill="auto"/>
            <w:noWrap/>
            <w:vAlign w:val="center"/>
            <w:hideMark/>
          </w:tcPr>
          <w:p w14:paraId="0BFCDB6A"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39,156,483,522.00</w:t>
            </w:r>
          </w:p>
        </w:tc>
        <w:tc>
          <w:tcPr>
            <w:tcW w:w="1275" w:type="dxa"/>
            <w:shd w:val="clear" w:color="auto" w:fill="auto"/>
            <w:noWrap/>
            <w:vAlign w:val="center"/>
            <w:hideMark/>
          </w:tcPr>
          <w:p w14:paraId="7E7A1E89"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40,400,283,585.00</w:t>
            </w:r>
          </w:p>
        </w:tc>
        <w:tc>
          <w:tcPr>
            <w:tcW w:w="1282" w:type="dxa"/>
            <w:shd w:val="clear" w:color="auto" w:fill="auto"/>
            <w:noWrap/>
            <w:vAlign w:val="center"/>
            <w:hideMark/>
          </w:tcPr>
          <w:p w14:paraId="2DF27458"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41,851,032,683.00</w:t>
            </w:r>
          </w:p>
        </w:tc>
      </w:tr>
      <w:tr w:rsidR="005E1205" w:rsidRPr="00BB7DB2" w14:paraId="52E75056" w14:textId="77777777" w:rsidTr="00296B6A">
        <w:trPr>
          <w:trHeight w:val="319"/>
        </w:trPr>
        <w:tc>
          <w:tcPr>
            <w:tcW w:w="1560" w:type="dxa"/>
            <w:shd w:val="clear" w:color="auto" w:fill="auto"/>
            <w:vAlign w:val="center"/>
            <w:hideMark/>
          </w:tcPr>
          <w:p w14:paraId="6B85E315"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A. Aportaciones</w:t>
            </w:r>
          </w:p>
        </w:tc>
        <w:tc>
          <w:tcPr>
            <w:tcW w:w="1276" w:type="dxa"/>
            <w:shd w:val="clear" w:color="auto" w:fill="auto"/>
            <w:noWrap/>
            <w:vAlign w:val="center"/>
            <w:hideMark/>
          </w:tcPr>
          <w:p w14:paraId="0A658AB4"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32,232,477,795.00</w:t>
            </w:r>
          </w:p>
        </w:tc>
        <w:tc>
          <w:tcPr>
            <w:tcW w:w="1272" w:type="dxa"/>
            <w:shd w:val="clear" w:color="auto" w:fill="auto"/>
            <w:noWrap/>
            <w:vAlign w:val="center"/>
            <w:hideMark/>
          </w:tcPr>
          <w:p w14:paraId="7486C86B"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33,360,614,518.00</w:t>
            </w:r>
          </w:p>
        </w:tc>
        <w:tc>
          <w:tcPr>
            <w:tcW w:w="1276" w:type="dxa"/>
            <w:shd w:val="clear" w:color="auto" w:fill="auto"/>
            <w:noWrap/>
            <w:vAlign w:val="center"/>
            <w:hideMark/>
          </w:tcPr>
          <w:p w14:paraId="71C3B771"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34,361,432,954.00</w:t>
            </w:r>
          </w:p>
        </w:tc>
        <w:tc>
          <w:tcPr>
            <w:tcW w:w="1421" w:type="dxa"/>
            <w:shd w:val="clear" w:color="auto" w:fill="auto"/>
            <w:noWrap/>
            <w:vAlign w:val="center"/>
            <w:hideMark/>
          </w:tcPr>
          <w:p w14:paraId="7C614C94"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35,544,739,273.00</w:t>
            </w:r>
          </w:p>
        </w:tc>
        <w:tc>
          <w:tcPr>
            <w:tcW w:w="1275" w:type="dxa"/>
            <w:shd w:val="clear" w:color="auto" w:fill="auto"/>
            <w:noWrap/>
            <w:vAlign w:val="center"/>
            <w:hideMark/>
          </w:tcPr>
          <w:p w14:paraId="3BC3C493"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36,739,173,199.00</w:t>
            </w:r>
          </w:p>
        </w:tc>
        <w:tc>
          <w:tcPr>
            <w:tcW w:w="1282" w:type="dxa"/>
            <w:shd w:val="clear" w:color="auto" w:fill="auto"/>
            <w:noWrap/>
            <w:vAlign w:val="center"/>
            <w:hideMark/>
          </w:tcPr>
          <w:p w14:paraId="60590A26"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38,061,783,434.00</w:t>
            </w:r>
          </w:p>
        </w:tc>
      </w:tr>
      <w:tr w:rsidR="005E1205" w:rsidRPr="00BB7DB2" w14:paraId="09524D98" w14:textId="77777777" w:rsidTr="00296B6A">
        <w:trPr>
          <w:trHeight w:val="319"/>
        </w:trPr>
        <w:tc>
          <w:tcPr>
            <w:tcW w:w="1560" w:type="dxa"/>
            <w:shd w:val="clear" w:color="auto" w:fill="auto"/>
            <w:vAlign w:val="center"/>
            <w:hideMark/>
          </w:tcPr>
          <w:p w14:paraId="0F01C8BD"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B. Convenios</w:t>
            </w:r>
          </w:p>
        </w:tc>
        <w:tc>
          <w:tcPr>
            <w:tcW w:w="1276" w:type="dxa"/>
            <w:shd w:val="clear" w:color="auto" w:fill="auto"/>
            <w:noWrap/>
            <w:vAlign w:val="center"/>
            <w:hideMark/>
          </w:tcPr>
          <w:p w14:paraId="527EB7CD"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2" w:type="dxa"/>
            <w:shd w:val="clear" w:color="auto" w:fill="auto"/>
            <w:noWrap/>
            <w:vAlign w:val="center"/>
            <w:hideMark/>
          </w:tcPr>
          <w:p w14:paraId="625E15B4"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6" w:type="dxa"/>
            <w:shd w:val="clear" w:color="auto" w:fill="auto"/>
            <w:noWrap/>
            <w:vAlign w:val="center"/>
            <w:hideMark/>
          </w:tcPr>
          <w:p w14:paraId="4E737940"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421" w:type="dxa"/>
            <w:shd w:val="clear" w:color="auto" w:fill="auto"/>
            <w:noWrap/>
            <w:vAlign w:val="center"/>
            <w:hideMark/>
          </w:tcPr>
          <w:p w14:paraId="3EFF6471"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5" w:type="dxa"/>
            <w:shd w:val="clear" w:color="auto" w:fill="auto"/>
            <w:noWrap/>
            <w:vAlign w:val="center"/>
            <w:hideMark/>
          </w:tcPr>
          <w:p w14:paraId="66BD14DF"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82" w:type="dxa"/>
            <w:shd w:val="clear" w:color="auto" w:fill="auto"/>
            <w:noWrap/>
            <w:vAlign w:val="center"/>
            <w:hideMark/>
          </w:tcPr>
          <w:p w14:paraId="7ED69656"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5E1205" w:rsidRPr="00BB7DB2" w14:paraId="59A9B68A" w14:textId="77777777" w:rsidTr="00296B6A">
        <w:trPr>
          <w:trHeight w:val="319"/>
        </w:trPr>
        <w:tc>
          <w:tcPr>
            <w:tcW w:w="1560" w:type="dxa"/>
            <w:shd w:val="clear" w:color="auto" w:fill="auto"/>
            <w:vAlign w:val="center"/>
            <w:hideMark/>
          </w:tcPr>
          <w:p w14:paraId="35776682"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C. Fondos Distintos de Aportaciones</w:t>
            </w:r>
          </w:p>
        </w:tc>
        <w:tc>
          <w:tcPr>
            <w:tcW w:w="1276" w:type="dxa"/>
            <w:shd w:val="clear" w:color="auto" w:fill="auto"/>
            <w:noWrap/>
            <w:vAlign w:val="center"/>
            <w:hideMark/>
          </w:tcPr>
          <w:p w14:paraId="40A45C19"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13,012,131.00</w:t>
            </w:r>
          </w:p>
        </w:tc>
        <w:tc>
          <w:tcPr>
            <w:tcW w:w="1272" w:type="dxa"/>
            <w:shd w:val="clear" w:color="auto" w:fill="auto"/>
            <w:noWrap/>
            <w:vAlign w:val="center"/>
            <w:hideMark/>
          </w:tcPr>
          <w:p w14:paraId="7C6E00DF"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13,402,494.00</w:t>
            </w:r>
          </w:p>
        </w:tc>
        <w:tc>
          <w:tcPr>
            <w:tcW w:w="1276" w:type="dxa"/>
            <w:shd w:val="clear" w:color="auto" w:fill="auto"/>
            <w:noWrap/>
            <w:vAlign w:val="center"/>
            <w:hideMark/>
          </w:tcPr>
          <w:p w14:paraId="23246A64"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13,804,568.00</w:t>
            </w:r>
          </w:p>
        </w:tc>
        <w:tc>
          <w:tcPr>
            <w:tcW w:w="1421" w:type="dxa"/>
            <w:shd w:val="clear" w:color="auto" w:fill="auto"/>
            <w:noWrap/>
            <w:vAlign w:val="center"/>
            <w:hideMark/>
          </w:tcPr>
          <w:p w14:paraId="47125013"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14,218,706.00</w:t>
            </w:r>
          </w:p>
        </w:tc>
        <w:tc>
          <w:tcPr>
            <w:tcW w:w="1275" w:type="dxa"/>
            <w:shd w:val="clear" w:color="auto" w:fill="auto"/>
            <w:noWrap/>
            <w:vAlign w:val="center"/>
            <w:hideMark/>
          </w:tcPr>
          <w:p w14:paraId="2496C943"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14,645,267.00</w:t>
            </w:r>
          </w:p>
        </w:tc>
        <w:tc>
          <w:tcPr>
            <w:tcW w:w="1282" w:type="dxa"/>
            <w:shd w:val="clear" w:color="auto" w:fill="auto"/>
            <w:noWrap/>
            <w:vAlign w:val="center"/>
            <w:hideMark/>
          </w:tcPr>
          <w:p w14:paraId="47B3D972"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15,157,852.00</w:t>
            </w:r>
          </w:p>
        </w:tc>
      </w:tr>
      <w:tr w:rsidR="005E1205" w:rsidRPr="00BB7DB2" w14:paraId="45379BAB" w14:textId="77777777" w:rsidTr="00296B6A">
        <w:trPr>
          <w:trHeight w:val="640"/>
        </w:trPr>
        <w:tc>
          <w:tcPr>
            <w:tcW w:w="1560" w:type="dxa"/>
            <w:shd w:val="clear" w:color="auto" w:fill="auto"/>
            <w:vAlign w:val="center"/>
            <w:hideMark/>
          </w:tcPr>
          <w:p w14:paraId="5ECCBAF3"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D. Transferencias, Subsidios y Subvenciones, y Pensiones y Jubilaciones</w:t>
            </w:r>
          </w:p>
        </w:tc>
        <w:tc>
          <w:tcPr>
            <w:tcW w:w="1276" w:type="dxa"/>
            <w:shd w:val="clear" w:color="auto" w:fill="auto"/>
            <w:noWrap/>
            <w:vAlign w:val="center"/>
            <w:hideMark/>
          </w:tcPr>
          <w:p w14:paraId="6F2CEEEA"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3,374,006,376.00</w:t>
            </w:r>
          </w:p>
        </w:tc>
        <w:tc>
          <w:tcPr>
            <w:tcW w:w="1272" w:type="dxa"/>
            <w:shd w:val="clear" w:color="auto" w:fill="auto"/>
            <w:noWrap/>
            <w:vAlign w:val="center"/>
            <w:hideMark/>
          </w:tcPr>
          <w:p w14:paraId="29D683C4"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3,427,612,606.00</w:t>
            </w:r>
          </w:p>
        </w:tc>
        <w:tc>
          <w:tcPr>
            <w:tcW w:w="1276" w:type="dxa"/>
            <w:shd w:val="clear" w:color="auto" w:fill="auto"/>
            <w:noWrap/>
            <w:vAlign w:val="center"/>
            <w:hideMark/>
          </w:tcPr>
          <w:p w14:paraId="2589BA51"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3,511,709,724.00</w:t>
            </w:r>
          </w:p>
        </w:tc>
        <w:tc>
          <w:tcPr>
            <w:tcW w:w="1421" w:type="dxa"/>
            <w:shd w:val="clear" w:color="auto" w:fill="auto"/>
            <w:noWrap/>
            <w:vAlign w:val="center"/>
            <w:hideMark/>
          </w:tcPr>
          <w:p w14:paraId="2FBD6D2C"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3,597,525,543.00</w:t>
            </w:r>
          </w:p>
        </w:tc>
        <w:tc>
          <w:tcPr>
            <w:tcW w:w="1275" w:type="dxa"/>
            <w:shd w:val="clear" w:color="auto" w:fill="auto"/>
            <w:noWrap/>
            <w:vAlign w:val="center"/>
            <w:hideMark/>
          </w:tcPr>
          <w:p w14:paraId="11121039"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3,646,465,119.00</w:t>
            </w:r>
          </w:p>
        </w:tc>
        <w:tc>
          <w:tcPr>
            <w:tcW w:w="1282" w:type="dxa"/>
            <w:shd w:val="clear" w:color="auto" w:fill="auto"/>
            <w:noWrap/>
            <w:vAlign w:val="center"/>
            <w:hideMark/>
          </w:tcPr>
          <w:p w14:paraId="7D050902"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3,774,091,397.00</w:t>
            </w:r>
          </w:p>
        </w:tc>
      </w:tr>
      <w:tr w:rsidR="005E1205" w:rsidRPr="00BB7DB2" w14:paraId="07397134" w14:textId="77777777" w:rsidTr="00296B6A">
        <w:trPr>
          <w:trHeight w:val="640"/>
        </w:trPr>
        <w:tc>
          <w:tcPr>
            <w:tcW w:w="1560" w:type="dxa"/>
            <w:shd w:val="clear" w:color="auto" w:fill="auto"/>
            <w:vAlign w:val="center"/>
            <w:hideMark/>
          </w:tcPr>
          <w:p w14:paraId="015BD866"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E. Otras Transferencias Federales Etiquetadas</w:t>
            </w:r>
          </w:p>
        </w:tc>
        <w:tc>
          <w:tcPr>
            <w:tcW w:w="1276" w:type="dxa"/>
            <w:shd w:val="clear" w:color="auto" w:fill="auto"/>
            <w:noWrap/>
            <w:vAlign w:val="center"/>
            <w:hideMark/>
          </w:tcPr>
          <w:p w14:paraId="3B897C66"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2" w:type="dxa"/>
            <w:shd w:val="clear" w:color="auto" w:fill="auto"/>
            <w:noWrap/>
            <w:vAlign w:val="center"/>
            <w:hideMark/>
          </w:tcPr>
          <w:p w14:paraId="24762981"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6" w:type="dxa"/>
            <w:shd w:val="clear" w:color="auto" w:fill="auto"/>
            <w:noWrap/>
            <w:vAlign w:val="center"/>
            <w:hideMark/>
          </w:tcPr>
          <w:p w14:paraId="6422EDA3"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421" w:type="dxa"/>
            <w:shd w:val="clear" w:color="auto" w:fill="auto"/>
            <w:noWrap/>
            <w:vAlign w:val="center"/>
            <w:hideMark/>
          </w:tcPr>
          <w:p w14:paraId="2B0373C3"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5" w:type="dxa"/>
            <w:shd w:val="clear" w:color="auto" w:fill="auto"/>
            <w:noWrap/>
            <w:vAlign w:val="center"/>
            <w:hideMark/>
          </w:tcPr>
          <w:p w14:paraId="3E7CC8BF"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82" w:type="dxa"/>
            <w:shd w:val="clear" w:color="auto" w:fill="auto"/>
            <w:noWrap/>
            <w:vAlign w:val="center"/>
            <w:hideMark/>
          </w:tcPr>
          <w:p w14:paraId="542E171C"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5E1205" w:rsidRPr="00BB7DB2" w14:paraId="067709B1" w14:textId="77777777" w:rsidTr="00296B6A">
        <w:trPr>
          <w:trHeight w:val="640"/>
        </w:trPr>
        <w:tc>
          <w:tcPr>
            <w:tcW w:w="1560" w:type="dxa"/>
            <w:shd w:val="clear" w:color="auto" w:fill="auto"/>
            <w:vAlign w:val="center"/>
            <w:hideMark/>
          </w:tcPr>
          <w:p w14:paraId="41B89E2C"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3.- Ingresos Derivados de Financiamientos (3=A)</w:t>
            </w:r>
          </w:p>
        </w:tc>
        <w:tc>
          <w:tcPr>
            <w:tcW w:w="1276" w:type="dxa"/>
            <w:shd w:val="clear" w:color="auto" w:fill="auto"/>
            <w:noWrap/>
            <w:vAlign w:val="center"/>
            <w:hideMark/>
          </w:tcPr>
          <w:p w14:paraId="6298E65C"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2" w:type="dxa"/>
            <w:shd w:val="clear" w:color="auto" w:fill="auto"/>
            <w:noWrap/>
            <w:vAlign w:val="center"/>
            <w:hideMark/>
          </w:tcPr>
          <w:p w14:paraId="1ECA323D"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6" w:type="dxa"/>
            <w:shd w:val="clear" w:color="auto" w:fill="auto"/>
            <w:noWrap/>
            <w:vAlign w:val="center"/>
            <w:hideMark/>
          </w:tcPr>
          <w:p w14:paraId="4DF60754"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421" w:type="dxa"/>
            <w:shd w:val="clear" w:color="auto" w:fill="auto"/>
            <w:noWrap/>
            <w:vAlign w:val="center"/>
            <w:hideMark/>
          </w:tcPr>
          <w:p w14:paraId="7284120E"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5" w:type="dxa"/>
            <w:shd w:val="clear" w:color="auto" w:fill="auto"/>
            <w:noWrap/>
            <w:vAlign w:val="center"/>
            <w:hideMark/>
          </w:tcPr>
          <w:p w14:paraId="4FB59C8B"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82" w:type="dxa"/>
            <w:shd w:val="clear" w:color="auto" w:fill="auto"/>
            <w:noWrap/>
            <w:vAlign w:val="center"/>
            <w:hideMark/>
          </w:tcPr>
          <w:p w14:paraId="05436B46"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5E1205" w:rsidRPr="00BB7DB2" w14:paraId="3481DB7B" w14:textId="77777777" w:rsidTr="00296B6A">
        <w:trPr>
          <w:trHeight w:val="319"/>
        </w:trPr>
        <w:tc>
          <w:tcPr>
            <w:tcW w:w="1560" w:type="dxa"/>
            <w:shd w:val="clear" w:color="auto" w:fill="auto"/>
            <w:vAlign w:val="center"/>
            <w:hideMark/>
          </w:tcPr>
          <w:p w14:paraId="1FBB73B0"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A. Ingresos Derivados de Financiamientos</w:t>
            </w:r>
          </w:p>
        </w:tc>
        <w:tc>
          <w:tcPr>
            <w:tcW w:w="1276" w:type="dxa"/>
            <w:shd w:val="clear" w:color="auto" w:fill="auto"/>
            <w:noWrap/>
            <w:vAlign w:val="center"/>
            <w:hideMark/>
          </w:tcPr>
          <w:p w14:paraId="7551FD1A"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2" w:type="dxa"/>
            <w:shd w:val="clear" w:color="auto" w:fill="auto"/>
            <w:noWrap/>
            <w:vAlign w:val="center"/>
            <w:hideMark/>
          </w:tcPr>
          <w:p w14:paraId="6567CA4D"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6" w:type="dxa"/>
            <w:shd w:val="clear" w:color="auto" w:fill="auto"/>
            <w:noWrap/>
            <w:vAlign w:val="center"/>
            <w:hideMark/>
          </w:tcPr>
          <w:p w14:paraId="59C8CF8D"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421" w:type="dxa"/>
            <w:shd w:val="clear" w:color="auto" w:fill="auto"/>
            <w:noWrap/>
            <w:vAlign w:val="center"/>
            <w:hideMark/>
          </w:tcPr>
          <w:p w14:paraId="07CF3D6D"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75" w:type="dxa"/>
            <w:shd w:val="clear" w:color="auto" w:fill="auto"/>
            <w:noWrap/>
            <w:vAlign w:val="center"/>
            <w:hideMark/>
          </w:tcPr>
          <w:p w14:paraId="347432F9"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1282" w:type="dxa"/>
            <w:shd w:val="clear" w:color="auto" w:fill="auto"/>
            <w:noWrap/>
            <w:vAlign w:val="center"/>
            <w:hideMark/>
          </w:tcPr>
          <w:p w14:paraId="68D45305"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5E1205" w:rsidRPr="00BB7DB2" w14:paraId="595B490B" w14:textId="77777777" w:rsidTr="00296B6A">
        <w:trPr>
          <w:trHeight w:val="640"/>
        </w:trPr>
        <w:tc>
          <w:tcPr>
            <w:tcW w:w="1560" w:type="dxa"/>
            <w:shd w:val="clear" w:color="auto" w:fill="auto"/>
            <w:vAlign w:val="center"/>
            <w:hideMark/>
          </w:tcPr>
          <w:p w14:paraId="74CDD067" w14:textId="77777777" w:rsidR="005E1205" w:rsidRPr="005175AC" w:rsidRDefault="005E1205"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4.- Total de Ingresos Proyectados (4=1+2+3)</w:t>
            </w:r>
          </w:p>
        </w:tc>
        <w:tc>
          <w:tcPr>
            <w:tcW w:w="1276" w:type="dxa"/>
            <w:shd w:val="clear" w:color="auto" w:fill="auto"/>
            <w:noWrap/>
            <w:vAlign w:val="center"/>
            <w:hideMark/>
          </w:tcPr>
          <w:p w14:paraId="16C0EDA4"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71,039,555,296.00</w:t>
            </w:r>
          </w:p>
        </w:tc>
        <w:tc>
          <w:tcPr>
            <w:tcW w:w="1272" w:type="dxa"/>
            <w:shd w:val="clear" w:color="auto" w:fill="auto"/>
            <w:noWrap/>
            <w:vAlign w:val="center"/>
            <w:hideMark/>
          </w:tcPr>
          <w:p w14:paraId="0269678D"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73,496,283,975.00</w:t>
            </w:r>
          </w:p>
        </w:tc>
        <w:tc>
          <w:tcPr>
            <w:tcW w:w="1276" w:type="dxa"/>
            <w:shd w:val="clear" w:color="auto" w:fill="auto"/>
            <w:noWrap/>
            <w:vAlign w:val="center"/>
            <w:hideMark/>
          </w:tcPr>
          <w:p w14:paraId="20B63DD4"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75,666,324,025.00</w:t>
            </w:r>
          </w:p>
        </w:tc>
        <w:tc>
          <w:tcPr>
            <w:tcW w:w="1421" w:type="dxa"/>
            <w:shd w:val="clear" w:color="auto" w:fill="auto"/>
            <w:noWrap/>
            <w:vAlign w:val="center"/>
            <w:hideMark/>
          </w:tcPr>
          <w:p w14:paraId="0A6EAAF0"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77,879,160,252.00</w:t>
            </w:r>
          </w:p>
        </w:tc>
        <w:tc>
          <w:tcPr>
            <w:tcW w:w="1275" w:type="dxa"/>
            <w:shd w:val="clear" w:color="auto" w:fill="auto"/>
            <w:noWrap/>
            <w:vAlign w:val="center"/>
            <w:hideMark/>
          </w:tcPr>
          <w:p w14:paraId="52A07727"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80,061,921,152.00</w:t>
            </w:r>
          </w:p>
        </w:tc>
        <w:tc>
          <w:tcPr>
            <w:tcW w:w="1282" w:type="dxa"/>
            <w:shd w:val="clear" w:color="auto" w:fill="auto"/>
            <w:noWrap/>
            <w:vAlign w:val="center"/>
            <w:hideMark/>
          </w:tcPr>
          <w:p w14:paraId="7107F552" w14:textId="77777777" w:rsidR="005E1205" w:rsidRPr="005175AC" w:rsidRDefault="005E1205" w:rsidP="00296B6A">
            <w:pPr>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82,882,068,645.00</w:t>
            </w:r>
          </w:p>
        </w:tc>
      </w:tr>
    </w:tbl>
    <w:p w14:paraId="4FF9A233" w14:textId="77777777" w:rsidR="005E1205" w:rsidRPr="004215F5" w:rsidRDefault="005E1205" w:rsidP="004215F5">
      <w:pPr>
        <w:jc w:val="both"/>
        <w:rPr>
          <w:rFonts w:ascii="Arial" w:hAnsi="Arial" w:cs="Arial"/>
          <w:b/>
          <w:bCs/>
        </w:rPr>
      </w:pPr>
    </w:p>
    <w:p w14:paraId="2DB714EA" w14:textId="77777777" w:rsidR="005E1205" w:rsidRPr="007816F3" w:rsidRDefault="005E1205" w:rsidP="004215F5">
      <w:pPr>
        <w:pStyle w:val="Textoindependiente"/>
        <w:spacing w:after="0"/>
        <w:jc w:val="both"/>
        <w:rPr>
          <w:rFonts w:ascii="Arial" w:hAnsi="Arial" w:cs="Arial"/>
        </w:rPr>
      </w:pPr>
      <w:r w:rsidRPr="007816F3">
        <w:rPr>
          <w:rFonts w:ascii="Arial" w:hAnsi="Arial" w:cs="Arial"/>
          <w:b/>
        </w:rPr>
        <w:t xml:space="preserve">DÉCIMO QUINTO. </w:t>
      </w:r>
      <w:r w:rsidRPr="007816F3">
        <w:rPr>
          <w:rFonts w:ascii="Arial" w:hAnsi="Arial" w:cs="Arial"/>
        </w:rPr>
        <w:t>Que referente a los riesgos relevantes para las finanzas</w:t>
      </w:r>
      <w:r w:rsidRPr="007816F3">
        <w:rPr>
          <w:rFonts w:ascii="Arial" w:hAnsi="Arial" w:cs="Arial"/>
          <w:spacing w:val="1"/>
        </w:rPr>
        <w:t xml:space="preserve"> </w:t>
      </w:r>
      <w:r w:rsidRPr="007816F3">
        <w:rPr>
          <w:rFonts w:ascii="Arial" w:hAnsi="Arial" w:cs="Arial"/>
        </w:rPr>
        <w:t>públicas y en cumplimiento a lo establecido en el artículo 5 fracción III de la Ley de Disciplina   Financiera de las Entidades Federativas y los Municipios, se presentan</w:t>
      </w:r>
      <w:r w:rsidRPr="007816F3">
        <w:rPr>
          <w:rFonts w:ascii="Arial" w:hAnsi="Arial" w:cs="Arial"/>
          <w:spacing w:val="1"/>
        </w:rPr>
        <w:t xml:space="preserve"> </w:t>
      </w:r>
      <w:r w:rsidRPr="007816F3">
        <w:rPr>
          <w:rFonts w:ascii="Arial" w:hAnsi="Arial" w:cs="Arial"/>
        </w:rPr>
        <w:t>los riesgos relevantes asociados a las Finanzas Públicas del Estado de Hidalgo de la</w:t>
      </w:r>
      <w:r w:rsidRPr="007816F3">
        <w:rPr>
          <w:rFonts w:ascii="Arial" w:hAnsi="Arial" w:cs="Arial"/>
          <w:spacing w:val="-1"/>
        </w:rPr>
        <w:t xml:space="preserve"> </w:t>
      </w:r>
      <w:r w:rsidRPr="007816F3">
        <w:rPr>
          <w:rFonts w:ascii="Arial" w:hAnsi="Arial" w:cs="Arial"/>
        </w:rPr>
        <w:t>siguiente</w:t>
      </w:r>
      <w:r w:rsidRPr="007816F3">
        <w:rPr>
          <w:rFonts w:ascii="Arial" w:hAnsi="Arial" w:cs="Arial"/>
          <w:spacing w:val="1"/>
        </w:rPr>
        <w:t xml:space="preserve"> </w:t>
      </w:r>
      <w:r w:rsidRPr="007816F3">
        <w:rPr>
          <w:rFonts w:ascii="Arial" w:hAnsi="Arial" w:cs="Arial"/>
        </w:rPr>
        <w:t>forma:</w:t>
      </w:r>
    </w:p>
    <w:p w14:paraId="5746FA8E" w14:textId="77777777" w:rsidR="00DD55F4" w:rsidRPr="007816F3" w:rsidRDefault="00DD55F4" w:rsidP="004215F5">
      <w:pPr>
        <w:jc w:val="both"/>
        <w:rPr>
          <w:rFonts w:ascii="Arial" w:hAnsi="Arial" w:cs="Arial"/>
          <w:b/>
          <w:bC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DD55F4" w:rsidRPr="00246B58" w14:paraId="65424370" w14:textId="77777777" w:rsidTr="00296B6A">
        <w:trPr>
          <w:trHeight w:val="317"/>
          <w:tblHeader/>
        </w:trPr>
        <w:tc>
          <w:tcPr>
            <w:tcW w:w="4536" w:type="dxa"/>
            <w:shd w:val="clear" w:color="auto" w:fill="93213C"/>
          </w:tcPr>
          <w:p w14:paraId="23470CDD" w14:textId="77777777" w:rsidR="00DD55F4" w:rsidRPr="00246B58" w:rsidRDefault="00DD55F4" w:rsidP="004215F5">
            <w:pPr>
              <w:tabs>
                <w:tab w:val="center" w:pos="2299"/>
                <w:tab w:val="left" w:pos="3750"/>
              </w:tabs>
              <w:ind w:right="277"/>
              <w:rPr>
                <w:rFonts w:ascii="Arial" w:eastAsia="Calibri" w:hAnsi="Arial" w:cs="Arial"/>
                <w:b/>
                <w:color w:val="FFFFFF"/>
              </w:rPr>
            </w:pPr>
            <w:r w:rsidRPr="00246B58">
              <w:rPr>
                <w:rFonts w:ascii="Arial" w:eastAsia="Calibri" w:hAnsi="Arial" w:cs="Arial"/>
                <w:b/>
                <w:color w:val="FFFFFF"/>
              </w:rPr>
              <w:lastRenderedPageBreak/>
              <w:tab/>
              <w:t>Riesgos Relevantes</w:t>
            </w:r>
            <w:r w:rsidRPr="00246B58">
              <w:rPr>
                <w:rFonts w:ascii="Arial" w:eastAsia="Calibri" w:hAnsi="Arial" w:cs="Arial"/>
                <w:b/>
                <w:color w:val="FFFFFF"/>
              </w:rPr>
              <w:tab/>
            </w:r>
          </w:p>
        </w:tc>
        <w:tc>
          <w:tcPr>
            <w:tcW w:w="4395" w:type="dxa"/>
            <w:shd w:val="clear" w:color="auto" w:fill="93213C"/>
          </w:tcPr>
          <w:p w14:paraId="77C54057" w14:textId="77777777" w:rsidR="00DD55F4" w:rsidRPr="00246B58" w:rsidRDefault="00DD55F4" w:rsidP="004215F5">
            <w:pPr>
              <w:ind w:right="277"/>
              <w:jc w:val="center"/>
              <w:rPr>
                <w:rFonts w:ascii="Arial" w:eastAsia="Calibri" w:hAnsi="Arial" w:cs="Arial"/>
                <w:b/>
                <w:color w:val="FFFFFF"/>
              </w:rPr>
            </w:pPr>
            <w:r w:rsidRPr="00246B58">
              <w:rPr>
                <w:rFonts w:ascii="Arial" w:eastAsia="Calibri" w:hAnsi="Arial" w:cs="Arial"/>
                <w:b/>
                <w:color w:val="FFFFFF"/>
              </w:rPr>
              <w:t>Propuestas de Acción</w:t>
            </w:r>
          </w:p>
        </w:tc>
      </w:tr>
      <w:tr w:rsidR="00DD55F4" w:rsidRPr="00246B58" w14:paraId="67F59730" w14:textId="77777777" w:rsidTr="00296B6A">
        <w:trPr>
          <w:trHeight w:val="760"/>
        </w:trPr>
        <w:tc>
          <w:tcPr>
            <w:tcW w:w="4536" w:type="dxa"/>
            <w:shd w:val="clear" w:color="auto" w:fill="auto"/>
          </w:tcPr>
          <w:p w14:paraId="3A220704" w14:textId="77777777" w:rsidR="00DD55F4" w:rsidRPr="00246B58" w:rsidRDefault="00DD55F4" w:rsidP="004215F5">
            <w:pPr>
              <w:ind w:right="277"/>
              <w:jc w:val="both"/>
              <w:rPr>
                <w:rFonts w:ascii="Arial" w:eastAsia="Calibri" w:hAnsi="Arial" w:cs="Arial"/>
              </w:rPr>
            </w:pPr>
            <w:r w:rsidRPr="00246B58">
              <w:rPr>
                <w:rFonts w:ascii="Arial" w:eastAsia="Calibri" w:hAnsi="Arial" w:cs="Arial"/>
              </w:rPr>
              <w:t xml:space="preserve">Caída en la recaudación federal participable, reduciendo las transferencias federales al estado. </w:t>
            </w:r>
          </w:p>
        </w:tc>
        <w:tc>
          <w:tcPr>
            <w:tcW w:w="4395" w:type="dxa"/>
            <w:shd w:val="clear" w:color="auto" w:fill="auto"/>
          </w:tcPr>
          <w:p w14:paraId="4673EA70" w14:textId="77777777" w:rsidR="00DD55F4" w:rsidRPr="00246B58" w:rsidRDefault="00DD55F4" w:rsidP="004215F5">
            <w:pPr>
              <w:ind w:right="277"/>
              <w:jc w:val="both"/>
              <w:rPr>
                <w:rFonts w:ascii="Arial" w:eastAsia="Calibri" w:hAnsi="Arial" w:cs="Arial"/>
                <w:color w:val="FF0000"/>
              </w:rPr>
            </w:pPr>
            <w:r w:rsidRPr="00246B58">
              <w:rPr>
                <w:rFonts w:ascii="Arial" w:eastAsia="Calibri" w:hAnsi="Arial" w:cs="Arial"/>
              </w:rPr>
              <w:t>Fortalecer la recaudación de los ingresos propios, a efecto de dar continuidad a los programas y proyectos.</w:t>
            </w:r>
          </w:p>
        </w:tc>
      </w:tr>
      <w:tr w:rsidR="00DD55F4" w:rsidRPr="00246B58" w14:paraId="6AB82624" w14:textId="77777777" w:rsidTr="00296B6A">
        <w:trPr>
          <w:trHeight w:val="774"/>
        </w:trPr>
        <w:tc>
          <w:tcPr>
            <w:tcW w:w="4536" w:type="dxa"/>
            <w:shd w:val="clear" w:color="auto" w:fill="auto"/>
          </w:tcPr>
          <w:p w14:paraId="53B5F7BC" w14:textId="77777777" w:rsidR="00DD55F4" w:rsidRPr="00246B58" w:rsidRDefault="00DD55F4" w:rsidP="004215F5">
            <w:pPr>
              <w:ind w:right="277"/>
              <w:contextualSpacing/>
              <w:jc w:val="both"/>
              <w:rPr>
                <w:rFonts w:ascii="Arial" w:eastAsia="Calibri" w:hAnsi="Arial" w:cs="Arial"/>
              </w:rPr>
            </w:pPr>
            <w:r w:rsidRPr="00246B58">
              <w:rPr>
                <w:rFonts w:ascii="Arial" w:eastAsia="Calibri" w:hAnsi="Arial" w:cs="Arial"/>
              </w:rPr>
              <w:t xml:space="preserve">Conflictos geopolíticos y creación de bloques comerciales entre países. </w:t>
            </w:r>
          </w:p>
        </w:tc>
        <w:tc>
          <w:tcPr>
            <w:tcW w:w="4395" w:type="dxa"/>
            <w:shd w:val="clear" w:color="auto" w:fill="auto"/>
          </w:tcPr>
          <w:p w14:paraId="06EDC556" w14:textId="77777777" w:rsidR="00DD55F4" w:rsidRPr="00246B58" w:rsidRDefault="00DD55F4" w:rsidP="004215F5">
            <w:pPr>
              <w:ind w:right="277"/>
              <w:contextualSpacing/>
              <w:jc w:val="both"/>
              <w:rPr>
                <w:rFonts w:ascii="Arial" w:eastAsia="Calibri" w:hAnsi="Arial" w:cs="Arial"/>
              </w:rPr>
            </w:pPr>
            <w:r w:rsidRPr="00246B58">
              <w:rPr>
                <w:rFonts w:ascii="Arial" w:eastAsia="Calibri" w:hAnsi="Arial" w:cs="Arial"/>
              </w:rPr>
              <w:t>Generar acciones que incentiven el cumplimiento de obligaciones tributarias que fortalezcan la hacienda pública y no afecten la economía familiar.</w:t>
            </w:r>
          </w:p>
        </w:tc>
      </w:tr>
      <w:tr w:rsidR="00DD55F4" w:rsidRPr="00246B58" w14:paraId="62332DEF" w14:textId="77777777" w:rsidTr="00296B6A">
        <w:trPr>
          <w:trHeight w:val="70"/>
        </w:trPr>
        <w:tc>
          <w:tcPr>
            <w:tcW w:w="4536" w:type="dxa"/>
            <w:shd w:val="clear" w:color="auto" w:fill="auto"/>
          </w:tcPr>
          <w:p w14:paraId="359C323B" w14:textId="77777777" w:rsidR="00DD55F4" w:rsidRPr="00246B58" w:rsidRDefault="00DD55F4" w:rsidP="004215F5">
            <w:pPr>
              <w:ind w:right="277"/>
              <w:contextualSpacing/>
              <w:jc w:val="both"/>
              <w:rPr>
                <w:rFonts w:ascii="Arial" w:eastAsia="Calibri" w:hAnsi="Arial" w:cs="Arial"/>
              </w:rPr>
            </w:pPr>
            <w:r w:rsidRPr="00246B58">
              <w:rPr>
                <w:rFonts w:ascii="Arial" w:eastAsia="Calibri" w:hAnsi="Arial" w:cs="Arial"/>
              </w:rPr>
              <w:t>Crecimiento económico lento e inflación alta.</w:t>
            </w:r>
          </w:p>
        </w:tc>
        <w:tc>
          <w:tcPr>
            <w:tcW w:w="4395" w:type="dxa"/>
            <w:shd w:val="clear" w:color="auto" w:fill="auto"/>
          </w:tcPr>
          <w:p w14:paraId="443FE4A4" w14:textId="77777777" w:rsidR="00DD55F4" w:rsidRPr="00246B58" w:rsidRDefault="00DD55F4" w:rsidP="004215F5">
            <w:pPr>
              <w:ind w:right="277"/>
              <w:contextualSpacing/>
              <w:jc w:val="both"/>
              <w:rPr>
                <w:rFonts w:ascii="Arial" w:eastAsia="Calibri" w:hAnsi="Arial" w:cs="Arial"/>
              </w:rPr>
            </w:pPr>
            <w:r w:rsidRPr="00246B58">
              <w:rPr>
                <w:rFonts w:ascii="Arial" w:eastAsia="Calibri" w:hAnsi="Arial" w:cs="Arial"/>
              </w:rPr>
              <w:t>Conducción responsable y eficiente de las finanzas públicas, en apego a los principios de equilibrio presupuestario y disciplina fiscal, eliminando la necesidad de contratación de deuda a corto y largo plazo.</w:t>
            </w:r>
          </w:p>
        </w:tc>
      </w:tr>
      <w:tr w:rsidR="00DD55F4" w:rsidRPr="00246B58" w14:paraId="61F8A5F8" w14:textId="77777777" w:rsidTr="00296B6A">
        <w:trPr>
          <w:trHeight w:val="70"/>
        </w:trPr>
        <w:tc>
          <w:tcPr>
            <w:tcW w:w="4536" w:type="dxa"/>
            <w:shd w:val="clear" w:color="auto" w:fill="auto"/>
          </w:tcPr>
          <w:p w14:paraId="6076192A" w14:textId="77777777" w:rsidR="00DD55F4" w:rsidRPr="00246B58" w:rsidRDefault="00DD55F4" w:rsidP="004215F5">
            <w:pPr>
              <w:ind w:right="277"/>
              <w:jc w:val="both"/>
              <w:rPr>
                <w:rFonts w:ascii="Arial" w:eastAsia="Calibri" w:hAnsi="Arial" w:cs="Arial"/>
              </w:rPr>
            </w:pPr>
            <w:r w:rsidRPr="00246B58">
              <w:rPr>
                <w:rFonts w:ascii="Arial" w:eastAsia="Calibri" w:hAnsi="Arial" w:cs="Arial"/>
              </w:rPr>
              <w:t xml:space="preserve">Factores climatológicos asociados a sequías o inundaciones que puedan afectar la actividad agrícola, industrial o de servicios. </w:t>
            </w:r>
          </w:p>
        </w:tc>
        <w:tc>
          <w:tcPr>
            <w:tcW w:w="4395" w:type="dxa"/>
            <w:shd w:val="clear" w:color="auto" w:fill="auto"/>
          </w:tcPr>
          <w:p w14:paraId="2DB05D51" w14:textId="77777777" w:rsidR="00DD55F4" w:rsidRPr="00246B58" w:rsidRDefault="00DD55F4" w:rsidP="004215F5">
            <w:pPr>
              <w:adjustRightInd w:val="0"/>
              <w:ind w:right="277"/>
              <w:jc w:val="both"/>
              <w:rPr>
                <w:rFonts w:ascii="Arial" w:eastAsia="Calibri" w:hAnsi="Arial" w:cs="Arial"/>
              </w:rPr>
            </w:pPr>
            <w:r w:rsidRPr="00246B58">
              <w:rPr>
                <w:rFonts w:ascii="Arial" w:eastAsia="MS Mincho" w:hAnsi="Arial" w:cs="Arial"/>
              </w:rPr>
              <w:t>Generar fondos de reserva para y en su caso, la contratación de seguros para atender los daños que se ocasionen por fenómenos naturales.</w:t>
            </w:r>
          </w:p>
        </w:tc>
      </w:tr>
    </w:tbl>
    <w:p w14:paraId="7A76311D" w14:textId="77777777" w:rsidR="00DD55F4" w:rsidRPr="007816F3" w:rsidRDefault="00DD55F4" w:rsidP="004215F5">
      <w:pPr>
        <w:jc w:val="both"/>
        <w:rPr>
          <w:rFonts w:ascii="Arial" w:hAnsi="Arial" w:cs="Arial"/>
          <w:b/>
          <w:bCs/>
        </w:rPr>
      </w:pPr>
    </w:p>
    <w:p w14:paraId="0FFC1049" w14:textId="77777777" w:rsidR="00DD55F4" w:rsidRPr="007816F3" w:rsidRDefault="00DD55F4" w:rsidP="004215F5">
      <w:pPr>
        <w:pStyle w:val="Textoindependiente"/>
        <w:spacing w:after="0"/>
        <w:jc w:val="both"/>
        <w:rPr>
          <w:rFonts w:ascii="Arial" w:hAnsi="Arial" w:cs="Arial"/>
        </w:rPr>
      </w:pPr>
      <w:proofErr w:type="gramStart"/>
      <w:r w:rsidRPr="007816F3">
        <w:rPr>
          <w:rFonts w:ascii="Arial" w:hAnsi="Arial" w:cs="Arial"/>
        </w:rPr>
        <w:t>Que</w:t>
      </w:r>
      <w:proofErr w:type="gramEnd"/>
      <w:r w:rsidRPr="007816F3">
        <w:rPr>
          <w:rFonts w:ascii="Arial" w:hAnsi="Arial" w:cs="Arial"/>
        </w:rPr>
        <w:t xml:space="preserve"> respecto a los resultados de las finanzas públicas, en cumplimiento al artículo 5 fracción IV de la Ley de Disciplina Financiera de las Entidades Federativas y los Municipios, se presentan los montos de los ingresos del Estado de Hidalgo de los últimos cinco ejercicios fiscales; los ingresos devengados de enero a septiembre y estimados para el resto del Ejercicio Fiscal 2024.</w:t>
      </w:r>
    </w:p>
    <w:p w14:paraId="0A35867A" w14:textId="77777777" w:rsidR="00DD55F4" w:rsidRPr="007816F3" w:rsidRDefault="00DD55F4" w:rsidP="00DD55F4">
      <w:pPr>
        <w:spacing w:line="400" w:lineRule="atLeast"/>
        <w:jc w:val="both"/>
        <w:rPr>
          <w:rFonts w:ascii="Arial" w:hAnsi="Arial" w:cs="Arial"/>
          <w:b/>
          <w:bCs/>
        </w:rPr>
      </w:pPr>
    </w:p>
    <w:tbl>
      <w:tblPr>
        <w:tblW w:w="51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8"/>
        <w:gridCol w:w="1134"/>
        <w:gridCol w:w="1230"/>
        <w:gridCol w:w="1167"/>
        <w:gridCol w:w="1169"/>
        <w:gridCol w:w="1167"/>
        <w:gridCol w:w="1171"/>
        <w:gridCol w:w="1171"/>
        <w:gridCol w:w="420"/>
      </w:tblGrid>
      <w:tr w:rsidR="00DD55F4" w:rsidRPr="005175AC" w14:paraId="78029D22" w14:textId="77777777" w:rsidTr="00296B6A">
        <w:trPr>
          <w:gridAfter w:val="1"/>
          <w:wAfter w:w="218" w:type="pct"/>
          <w:trHeight w:val="240"/>
        </w:trPr>
        <w:tc>
          <w:tcPr>
            <w:tcW w:w="4782" w:type="pct"/>
            <w:gridSpan w:val="8"/>
            <w:shd w:val="clear" w:color="000000" w:fill="691C31"/>
            <w:noWrap/>
            <w:vAlign w:val="bottom"/>
            <w:hideMark/>
          </w:tcPr>
          <w:p w14:paraId="138BDF4F" w14:textId="77777777" w:rsidR="00DD55F4" w:rsidRPr="005175AC" w:rsidRDefault="00DD55F4" w:rsidP="00296B6A">
            <w:pPr>
              <w:ind w:right="277"/>
              <w:jc w:val="center"/>
              <w:rPr>
                <w:rFonts w:ascii="Arial" w:hAnsi="Arial" w:cs="Arial"/>
                <w:b/>
                <w:bCs/>
                <w:color w:val="FFFFFF"/>
                <w:sz w:val="12"/>
                <w:szCs w:val="12"/>
                <w:lang w:eastAsia="es-MX"/>
              </w:rPr>
            </w:pPr>
            <w:r w:rsidRPr="005175AC">
              <w:rPr>
                <w:rFonts w:ascii="Arial" w:hAnsi="Arial" w:cs="Arial"/>
                <w:b/>
                <w:bCs/>
                <w:color w:val="FFFFFF"/>
                <w:sz w:val="12"/>
                <w:szCs w:val="12"/>
                <w:lang w:eastAsia="es-MX"/>
              </w:rPr>
              <w:t>Gobierno del Estado de Hidalgo</w:t>
            </w:r>
          </w:p>
        </w:tc>
      </w:tr>
      <w:tr w:rsidR="00DD55F4" w:rsidRPr="005175AC" w14:paraId="6838B8FD" w14:textId="77777777" w:rsidTr="00296B6A">
        <w:trPr>
          <w:gridAfter w:val="1"/>
          <w:wAfter w:w="218" w:type="pct"/>
          <w:trHeight w:val="240"/>
        </w:trPr>
        <w:tc>
          <w:tcPr>
            <w:tcW w:w="4782" w:type="pct"/>
            <w:gridSpan w:val="8"/>
            <w:shd w:val="clear" w:color="000000" w:fill="691C31"/>
            <w:noWrap/>
            <w:vAlign w:val="bottom"/>
            <w:hideMark/>
          </w:tcPr>
          <w:p w14:paraId="17530D7A" w14:textId="77777777" w:rsidR="00DD55F4" w:rsidRPr="005175AC" w:rsidRDefault="00DD55F4" w:rsidP="00296B6A">
            <w:pPr>
              <w:ind w:right="277"/>
              <w:jc w:val="center"/>
              <w:rPr>
                <w:rFonts w:ascii="Arial" w:hAnsi="Arial" w:cs="Arial"/>
                <w:b/>
                <w:bCs/>
                <w:color w:val="FFFFFF"/>
                <w:sz w:val="12"/>
                <w:szCs w:val="12"/>
                <w:lang w:eastAsia="es-MX"/>
              </w:rPr>
            </w:pPr>
            <w:r w:rsidRPr="005175AC">
              <w:rPr>
                <w:rFonts w:ascii="Arial" w:hAnsi="Arial" w:cs="Arial"/>
                <w:b/>
                <w:bCs/>
                <w:color w:val="FFFFFF"/>
                <w:sz w:val="12"/>
                <w:szCs w:val="12"/>
                <w:lang w:eastAsia="es-MX"/>
              </w:rPr>
              <w:t xml:space="preserve">Resultados de Ingresos - </w:t>
            </w:r>
            <w:proofErr w:type="spellStart"/>
            <w:r w:rsidRPr="005175AC">
              <w:rPr>
                <w:rFonts w:ascii="Arial" w:hAnsi="Arial" w:cs="Arial"/>
                <w:b/>
                <w:bCs/>
                <w:color w:val="FFFFFF"/>
                <w:sz w:val="12"/>
                <w:szCs w:val="12"/>
                <w:lang w:eastAsia="es-MX"/>
              </w:rPr>
              <w:t>LDF</w:t>
            </w:r>
            <w:proofErr w:type="spellEnd"/>
            <w:r w:rsidRPr="005175AC">
              <w:rPr>
                <w:rFonts w:ascii="Arial" w:hAnsi="Arial" w:cs="Arial"/>
                <w:b/>
                <w:bCs/>
                <w:color w:val="FFFFFF"/>
                <w:sz w:val="12"/>
                <w:szCs w:val="12"/>
                <w:lang w:eastAsia="es-MX"/>
              </w:rPr>
              <w:t xml:space="preserve"> (PESOS)</w:t>
            </w:r>
          </w:p>
        </w:tc>
      </w:tr>
      <w:tr w:rsidR="00DD55F4" w:rsidRPr="005175AC" w14:paraId="65A14E46" w14:textId="77777777" w:rsidTr="00296B6A">
        <w:trPr>
          <w:gridAfter w:val="1"/>
          <w:wAfter w:w="218" w:type="pct"/>
          <w:trHeight w:val="408"/>
        </w:trPr>
        <w:tc>
          <w:tcPr>
            <w:tcW w:w="519" w:type="pct"/>
            <w:vMerge w:val="restart"/>
            <w:shd w:val="clear" w:color="000000" w:fill="691C31"/>
            <w:noWrap/>
            <w:vAlign w:val="center"/>
            <w:hideMark/>
          </w:tcPr>
          <w:p w14:paraId="631DC08A" w14:textId="77777777" w:rsidR="00DD55F4" w:rsidRPr="005175AC" w:rsidRDefault="00DD55F4" w:rsidP="00296B6A">
            <w:pPr>
              <w:ind w:right="-67"/>
              <w:jc w:val="center"/>
              <w:rPr>
                <w:rFonts w:ascii="Arial" w:hAnsi="Arial" w:cs="Arial"/>
                <w:color w:val="000000"/>
                <w:sz w:val="12"/>
                <w:szCs w:val="12"/>
                <w:lang w:eastAsia="es-MX"/>
              </w:rPr>
            </w:pPr>
            <w:r w:rsidRPr="005175AC">
              <w:rPr>
                <w:rFonts w:ascii="Arial" w:hAnsi="Arial" w:cs="Arial"/>
                <w:color w:val="000000"/>
                <w:sz w:val="12"/>
                <w:szCs w:val="12"/>
                <w:lang w:eastAsia="es-MX"/>
              </w:rPr>
              <w:t>Concepto</w:t>
            </w:r>
          </w:p>
        </w:tc>
        <w:tc>
          <w:tcPr>
            <w:tcW w:w="589" w:type="pct"/>
            <w:vMerge w:val="restart"/>
            <w:shd w:val="clear" w:color="000000" w:fill="691C31"/>
            <w:noWrap/>
            <w:vAlign w:val="center"/>
            <w:hideMark/>
          </w:tcPr>
          <w:p w14:paraId="077046ED" w14:textId="77777777" w:rsidR="00DD55F4" w:rsidRPr="005175AC" w:rsidRDefault="00DD55F4" w:rsidP="00296B6A">
            <w:pPr>
              <w:tabs>
                <w:tab w:val="left" w:pos="634"/>
              </w:tabs>
              <w:ind w:right="-67"/>
              <w:jc w:val="center"/>
              <w:rPr>
                <w:rFonts w:ascii="Arial" w:hAnsi="Arial" w:cs="Arial"/>
                <w:color w:val="000000"/>
                <w:sz w:val="12"/>
                <w:szCs w:val="12"/>
                <w:lang w:eastAsia="es-MX"/>
              </w:rPr>
            </w:pPr>
            <w:r w:rsidRPr="005175AC">
              <w:rPr>
                <w:rFonts w:ascii="Arial" w:hAnsi="Arial" w:cs="Arial"/>
                <w:color w:val="000000"/>
                <w:sz w:val="12"/>
                <w:szCs w:val="12"/>
                <w:lang w:eastAsia="es-MX"/>
              </w:rPr>
              <w:t>2018</w:t>
            </w:r>
            <w:r w:rsidRPr="005175AC">
              <w:rPr>
                <w:rFonts w:ascii="Cambria Math" w:hAnsi="Cambria Math" w:cs="Cambria Math"/>
                <w:color w:val="000000"/>
                <w:sz w:val="12"/>
                <w:szCs w:val="12"/>
                <w:lang w:eastAsia="es-MX"/>
              </w:rPr>
              <w:t>₁</w:t>
            </w:r>
          </w:p>
        </w:tc>
        <w:tc>
          <w:tcPr>
            <w:tcW w:w="639" w:type="pct"/>
            <w:vMerge w:val="restart"/>
            <w:shd w:val="clear" w:color="000000" w:fill="691C31"/>
            <w:noWrap/>
            <w:vAlign w:val="center"/>
            <w:hideMark/>
          </w:tcPr>
          <w:p w14:paraId="795DAEF0" w14:textId="77777777" w:rsidR="00DD55F4" w:rsidRPr="005175AC" w:rsidRDefault="00DD55F4" w:rsidP="00296B6A">
            <w:pPr>
              <w:tabs>
                <w:tab w:val="left" w:pos="634"/>
              </w:tabs>
              <w:ind w:right="-67"/>
              <w:jc w:val="center"/>
              <w:rPr>
                <w:rFonts w:ascii="Arial" w:hAnsi="Arial" w:cs="Arial"/>
                <w:color w:val="000000"/>
                <w:sz w:val="12"/>
                <w:szCs w:val="12"/>
                <w:lang w:eastAsia="es-MX"/>
              </w:rPr>
            </w:pPr>
            <w:r w:rsidRPr="005175AC">
              <w:rPr>
                <w:rFonts w:ascii="Arial" w:hAnsi="Arial" w:cs="Arial"/>
                <w:color w:val="000000"/>
                <w:sz w:val="12"/>
                <w:szCs w:val="12"/>
                <w:lang w:eastAsia="es-MX"/>
              </w:rPr>
              <w:t>2019</w:t>
            </w:r>
            <w:r w:rsidRPr="005175AC">
              <w:rPr>
                <w:rFonts w:ascii="Cambria Math" w:hAnsi="Cambria Math" w:cs="Cambria Math"/>
                <w:color w:val="000000"/>
                <w:sz w:val="12"/>
                <w:szCs w:val="12"/>
                <w:lang w:eastAsia="es-MX"/>
              </w:rPr>
              <w:t>₁</w:t>
            </w:r>
          </w:p>
        </w:tc>
        <w:tc>
          <w:tcPr>
            <w:tcW w:w="606" w:type="pct"/>
            <w:vMerge w:val="restart"/>
            <w:shd w:val="clear" w:color="000000" w:fill="691C31"/>
            <w:noWrap/>
            <w:vAlign w:val="center"/>
            <w:hideMark/>
          </w:tcPr>
          <w:p w14:paraId="1A0D19E9" w14:textId="77777777" w:rsidR="00DD55F4" w:rsidRPr="005175AC" w:rsidRDefault="00DD55F4" w:rsidP="00296B6A">
            <w:pPr>
              <w:tabs>
                <w:tab w:val="left" w:pos="634"/>
              </w:tabs>
              <w:ind w:right="-67"/>
              <w:jc w:val="center"/>
              <w:rPr>
                <w:rFonts w:ascii="Arial" w:hAnsi="Arial" w:cs="Arial"/>
                <w:color w:val="000000"/>
                <w:sz w:val="12"/>
                <w:szCs w:val="12"/>
                <w:lang w:eastAsia="es-MX"/>
              </w:rPr>
            </w:pPr>
            <w:r w:rsidRPr="005175AC">
              <w:rPr>
                <w:rFonts w:ascii="Arial" w:hAnsi="Arial" w:cs="Arial"/>
                <w:color w:val="000000"/>
                <w:sz w:val="12"/>
                <w:szCs w:val="12"/>
                <w:lang w:eastAsia="es-MX"/>
              </w:rPr>
              <w:t>2020</w:t>
            </w:r>
            <w:r w:rsidRPr="005175AC">
              <w:rPr>
                <w:rFonts w:ascii="Cambria Math" w:hAnsi="Cambria Math" w:cs="Cambria Math"/>
                <w:color w:val="000000"/>
                <w:sz w:val="12"/>
                <w:szCs w:val="12"/>
                <w:lang w:eastAsia="es-MX"/>
              </w:rPr>
              <w:t>₁</w:t>
            </w:r>
          </w:p>
        </w:tc>
        <w:tc>
          <w:tcPr>
            <w:tcW w:w="607" w:type="pct"/>
            <w:vMerge w:val="restart"/>
            <w:shd w:val="clear" w:color="000000" w:fill="691C31"/>
            <w:noWrap/>
            <w:vAlign w:val="center"/>
            <w:hideMark/>
          </w:tcPr>
          <w:p w14:paraId="03A7C8B4" w14:textId="77777777" w:rsidR="00DD55F4" w:rsidRPr="005175AC" w:rsidRDefault="00DD55F4" w:rsidP="00296B6A">
            <w:pPr>
              <w:tabs>
                <w:tab w:val="left" w:pos="634"/>
              </w:tabs>
              <w:ind w:right="-67"/>
              <w:jc w:val="center"/>
              <w:rPr>
                <w:rFonts w:ascii="Arial" w:hAnsi="Arial" w:cs="Arial"/>
                <w:color w:val="000000"/>
                <w:sz w:val="12"/>
                <w:szCs w:val="12"/>
                <w:lang w:eastAsia="es-MX"/>
              </w:rPr>
            </w:pPr>
            <w:r w:rsidRPr="005175AC">
              <w:rPr>
                <w:rFonts w:ascii="Arial" w:hAnsi="Arial" w:cs="Arial"/>
                <w:color w:val="000000"/>
                <w:sz w:val="12"/>
                <w:szCs w:val="12"/>
                <w:lang w:eastAsia="es-MX"/>
              </w:rPr>
              <w:t>2021</w:t>
            </w:r>
            <w:r w:rsidRPr="005175AC">
              <w:rPr>
                <w:rFonts w:ascii="Cambria Math" w:hAnsi="Cambria Math" w:cs="Cambria Math"/>
                <w:color w:val="000000"/>
                <w:sz w:val="12"/>
                <w:szCs w:val="12"/>
                <w:lang w:eastAsia="es-MX"/>
              </w:rPr>
              <w:t>₁</w:t>
            </w:r>
          </w:p>
        </w:tc>
        <w:tc>
          <w:tcPr>
            <w:tcW w:w="606" w:type="pct"/>
            <w:vMerge w:val="restart"/>
            <w:shd w:val="clear" w:color="000000" w:fill="691C31"/>
            <w:noWrap/>
            <w:vAlign w:val="center"/>
            <w:hideMark/>
          </w:tcPr>
          <w:p w14:paraId="56CB58B0" w14:textId="77777777" w:rsidR="00DD55F4" w:rsidRPr="005175AC" w:rsidRDefault="00DD55F4" w:rsidP="00296B6A">
            <w:pPr>
              <w:tabs>
                <w:tab w:val="left" w:pos="634"/>
              </w:tabs>
              <w:ind w:right="-67"/>
              <w:jc w:val="center"/>
              <w:rPr>
                <w:rFonts w:ascii="Arial" w:hAnsi="Arial" w:cs="Arial"/>
                <w:color w:val="000000"/>
                <w:sz w:val="12"/>
                <w:szCs w:val="12"/>
                <w:lang w:eastAsia="es-MX"/>
              </w:rPr>
            </w:pPr>
            <w:r w:rsidRPr="005175AC">
              <w:rPr>
                <w:rFonts w:ascii="Arial" w:hAnsi="Arial" w:cs="Arial"/>
                <w:color w:val="000000"/>
                <w:sz w:val="12"/>
                <w:szCs w:val="12"/>
                <w:lang w:eastAsia="es-MX"/>
              </w:rPr>
              <w:t>2022</w:t>
            </w:r>
            <w:r w:rsidRPr="005175AC">
              <w:rPr>
                <w:rFonts w:ascii="Cambria Math" w:hAnsi="Cambria Math" w:cs="Cambria Math"/>
                <w:color w:val="000000"/>
                <w:sz w:val="12"/>
                <w:szCs w:val="12"/>
                <w:lang w:eastAsia="es-MX"/>
              </w:rPr>
              <w:t>₁</w:t>
            </w:r>
          </w:p>
        </w:tc>
        <w:tc>
          <w:tcPr>
            <w:tcW w:w="608" w:type="pct"/>
            <w:vMerge w:val="restart"/>
            <w:shd w:val="clear" w:color="000000" w:fill="691C31"/>
            <w:noWrap/>
            <w:vAlign w:val="center"/>
            <w:hideMark/>
          </w:tcPr>
          <w:p w14:paraId="521633B9" w14:textId="77777777" w:rsidR="00DD55F4" w:rsidRPr="005175AC" w:rsidRDefault="00DD55F4" w:rsidP="00296B6A">
            <w:pPr>
              <w:tabs>
                <w:tab w:val="left" w:pos="634"/>
              </w:tabs>
              <w:ind w:right="-67"/>
              <w:jc w:val="center"/>
              <w:rPr>
                <w:rFonts w:ascii="Arial" w:hAnsi="Arial" w:cs="Arial"/>
                <w:color w:val="000000"/>
                <w:sz w:val="12"/>
                <w:szCs w:val="12"/>
                <w:lang w:eastAsia="es-MX"/>
              </w:rPr>
            </w:pPr>
            <w:r w:rsidRPr="005175AC">
              <w:rPr>
                <w:rFonts w:ascii="Arial" w:hAnsi="Arial" w:cs="Arial"/>
                <w:color w:val="000000"/>
                <w:sz w:val="12"/>
                <w:szCs w:val="12"/>
                <w:lang w:eastAsia="es-MX"/>
              </w:rPr>
              <w:t>2023</w:t>
            </w:r>
            <w:r w:rsidRPr="005175AC">
              <w:rPr>
                <w:rFonts w:ascii="Cambria Math" w:hAnsi="Cambria Math" w:cs="Cambria Math"/>
                <w:color w:val="000000"/>
                <w:sz w:val="12"/>
                <w:szCs w:val="12"/>
                <w:lang w:eastAsia="es-MX"/>
              </w:rPr>
              <w:t>₁</w:t>
            </w:r>
          </w:p>
        </w:tc>
        <w:tc>
          <w:tcPr>
            <w:tcW w:w="608" w:type="pct"/>
            <w:vMerge w:val="restart"/>
            <w:shd w:val="clear" w:color="000000" w:fill="691C31"/>
            <w:vAlign w:val="center"/>
            <w:hideMark/>
          </w:tcPr>
          <w:p w14:paraId="38CB2D9A" w14:textId="77777777" w:rsidR="00DD55F4" w:rsidRPr="005175AC" w:rsidRDefault="00DD55F4" w:rsidP="00296B6A">
            <w:pPr>
              <w:tabs>
                <w:tab w:val="left" w:pos="634"/>
              </w:tabs>
              <w:ind w:right="-67"/>
              <w:jc w:val="center"/>
              <w:rPr>
                <w:rFonts w:ascii="Arial" w:hAnsi="Arial" w:cs="Arial"/>
                <w:color w:val="000000"/>
                <w:sz w:val="12"/>
                <w:szCs w:val="12"/>
                <w:lang w:eastAsia="es-MX"/>
              </w:rPr>
            </w:pPr>
            <w:r w:rsidRPr="005175AC">
              <w:rPr>
                <w:rFonts w:ascii="Arial" w:hAnsi="Arial" w:cs="Arial"/>
                <w:color w:val="000000"/>
                <w:sz w:val="12"/>
                <w:szCs w:val="12"/>
                <w:lang w:eastAsia="es-MX"/>
              </w:rPr>
              <w:t>2024</w:t>
            </w:r>
            <w:r w:rsidRPr="005175AC">
              <w:rPr>
                <w:rFonts w:ascii="Cambria Math" w:hAnsi="Cambria Math" w:cs="Cambria Math"/>
                <w:color w:val="000000"/>
                <w:sz w:val="12"/>
                <w:szCs w:val="12"/>
                <w:lang w:eastAsia="es-MX"/>
              </w:rPr>
              <w:t>₂</w:t>
            </w:r>
          </w:p>
        </w:tc>
      </w:tr>
      <w:tr w:rsidR="00DD55F4" w:rsidRPr="005175AC" w14:paraId="621B22CC" w14:textId="77777777" w:rsidTr="00296B6A">
        <w:trPr>
          <w:gridAfter w:val="1"/>
          <w:wAfter w:w="218" w:type="pct"/>
          <w:trHeight w:val="408"/>
        </w:trPr>
        <w:tc>
          <w:tcPr>
            <w:tcW w:w="519" w:type="pct"/>
            <w:vMerge/>
            <w:vAlign w:val="center"/>
            <w:hideMark/>
          </w:tcPr>
          <w:p w14:paraId="7844D1C1" w14:textId="77777777" w:rsidR="00DD55F4" w:rsidRPr="005175AC" w:rsidRDefault="00DD55F4" w:rsidP="00296B6A">
            <w:pPr>
              <w:ind w:right="-67"/>
              <w:rPr>
                <w:rFonts w:ascii="Arial" w:hAnsi="Arial" w:cs="Arial"/>
                <w:color w:val="000000"/>
                <w:sz w:val="12"/>
                <w:szCs w:val="12"/>
                <w:lang w:eastAsia="es-MX"/>
              </w:rPr>
            </w:pPr>
          </w:p>
        </w:tc>
        <w:tc>
          <w:tcPr>
            <w:tcW w:w="589" w:type="pct"/>
            <w:vMerge/>
            <w:vAlign w:val="center"/>
            <w:hideMark/>
          </w:tcPr>
          <w:p w14:paraId="032FE2C3" w14:textId="77777777" w:rsidR="00DD55F4" w:rsidRPr="005175AC" w:rsidRDefault="00DD55F4" w:rsidP="00296B6A">
            <w:pPr>
              <w:tabs>
                <w:tab w:val="left" w:pos="634"/>
              </w:tabs>
              <w:ind w:right="-67"/>
              <w:rPr>
                <w:rFonts w:ascii="Arial" w:hAnsi="Arial" w:cs="Arial"/>
                <w:color w:val="000000"/>
                <w:sz w:val="12"/>
                <w:szCs w:val="12"/>
                <w:lang w:eastAsia="es-MX"/>
              </w:rPr>
            </w:pPr>
          </w:p>
        </w:tc>
        <w:tc>
          <w:tcPr>
            <w:tcW w:w="639" w:type="pct"/>
            <w:vMerge/>
            <w:vAlign w:val="center"/>
            <w:hideMark/>
          </w:tcPr>
          <w:p w14:paraId="5F1AF9E0" w14:textId="77777777" w:rsidR="00DD55F4" w:rsidRPr="005175AC" w:rsidRDefault="00DD55F4" w:rsidP="00296B6A">
            <w:pPr>
              <w:tabs>
                <w:tab w:val="left" w:pos="634"/>
              </w:tabs>
              <w:ind w:right="-67"/>
              <w:rPr>
                <w:rFonts w:ascii="Arial" w:hAnsi="Arial" w:cs="Arial"/>
                <w:color w:val="000000"/>
                <w:sz w:val="12"/>
                <w:szCs w:val="12"/>
                <w:lang w:eastAsia="es-MX"/>
              </w:rPr>
            </w:pPr>
          </w:p>
        </w:tc>
        <w:tc>
          <w:tcPr>
            <w:tcW w:w="606" w:type="pct"/>
            <w:vMerge/>
            <w:vAlign w:val="center"/>
            <w:hideMark/>
          </w:tcPr>
          <w:p w14:paraId="28F0F892" w14:textId="77777777" w:rsidR="00DD55F4" w:rsidRPr="005175AC" w:rsidRDefault="00DD55F4" w:rsidP="00296B6A">
            <w:pPr>
              <w:tabs>
                <w:tab w:val="left" w:pos="634"/>
              </w:tabs>
              <w:ind w:right="-67"/>
              <w:rPr>
                <w:rFonts w:ascii="Arial" w:hAnsi="Arial" w:cs="Arial"/>
                <w:color w:val="000000"/>
                <w:sz w:val="12"/>
                <w:szCs w:val="12"/>
                <w:lang w:eastAsia="es-MX"/>
              </w:rPr>
            </w:pPr>
          </w:p>
        </w:tc>
        <w:tc>
          <w:tcPr>
            <w:tcW w:w="607" w:type="pct"/>
            <w:vMerge/>
            <w:vAlign w:val="center"/>
            <w:hideMark/>
          </w:tcPr>
          <w:p w14:paraId="3F7CBCA0" w14:textId="77777777" w:rsidR="00DD55F4" w:rsidRPr="005175AC" w:rsidRDefault="00DD55F4" w:rsidP="00296B6A">
            <w:pPr>
              <w:tabs>
                <w:tab w:val="left" w:pos="634"/>
              </w:tabs>
              <w:ind w:right="-67"/>
              <w:rPr>
                <w:rFonts w:ascii="Arial" w:hAnsi="Arial" w:cs="Arial"/>
                <w:color w:val="000000"/>
                <w:sz w:val="12"/>
                <w:szCs w:val="12"/>
                <w:lang w:eastAsia="es-MX"/>
              </w:rPr>
            </w:pPr>
          </w:p>
        </w:tc>
        <w:tc>
          <w:tcPr>
            <w:tcW w:w="606" w:type="pct"/>
            <w:vMerge/>
            <w:vAlign w:val="center"/>
            <w:hideMark/>
          </w:tcPr>
          <w:p w14:paraId="2F5D19D2" w14:textId="77777777" w:rsidR="00DD55F4" w:rsidRPr="005175AC" w:rsidRDefault="00DD55F4" w:rsidP="00296B6A">
            <w:pPr>
              <w:tabs>
                <w:tab w:val="left" w:pos="634"/>
              </w:tabs>
              <w:ind w:right="-67"/>
              <w:rPr>
                <w:rFonts w:ascii="Arial" w:hAnsi="Arial" w:cs="Arial"/>
                <w:color w:val="000000"/>
                <w:sz w:val="12"/>
                <w:szCs w:val="12"/>
                <w:lang w:eastAsia="es-MX"/>
              </w:rPr>
            </w:pPr>
          </w:p>
        </w:tc>
        <w:tc>
          <w:tcPr>
            <w:tcW w:w="608" w:type="pct"/>
            <w:vMerge/>
            <w:vAlign w:val="center"/>
            <w:hideMark/>
          </w:tcPr>
          <w:p w14:paraId="21B46302" w14:textId="77777777" w:rsidR="00DD55F4" w:rsidRPr="005175AC" w:rsidRDefault="00DD55F4" w:rsidP="00296B6A">
            <w:pPr>
              <w:tabs>
                <w:tab w:val="left" w:pos="634"/>
              </w:tabs>
              <w:ind w:right="-67"/>
              <w:rPr>
                <w:rFonts w:ascii="Arial" w:hAnsi="Arial" w:cs="Arial"/>
                <w:color w:val="000000"/>
                <w:sz w:val="12"/>
                <w:szCs w:val="12"/>
                <w:lang w:eastAsia="es-MX"/>
              </w:rPr>
            </w:pPr>
          </w:p>
        </w:tc>
        <w:tc>
          <w:tcPr>
            <w:tcW w:w="608" w:type="pct"/>
            <w:vMerge/>
            <w:vAlign w:val="center"/>
            <w:hideMark/>
          </w:tcPr>
          <w:p w14:paraId="204715C6" w14:textId="77777777" w:rsidR="00DD55F4" w:rsidRPr="005175AC" w:rsidRDefault="00DD55F4" w:rsidP="00296B6A">
            <w:pPr>
              <w:tabs>
                <w:tab w:val="left" w:pos="634"/>
              </w:tabs>
              <w:ind w:right="-67"/>
              <w:rPr>
                <w:rFonts w:ascii="Arial" w:hAnsi="Arial" w:cs="Arial"/>
                <w:color w:val="000000"/>
                <w:sz w:val="12"/>
                <w:szCs w:val="12"/>
                <w:lang w:eastAsia="es-MX"/>
              </w:rPr>
            </w:pPr>
          </w:p>
        </w:tc>
      </w:tr>
      <w:tr w:rsidR="00DD55F4" w:rsidRPr="005175AC" w14:paraId="771E3CC7" w14:textId="77777777" w:rsidTr="00296B6A">
        <w:trPr>
          <w:gridAfter w:val="1"/>
          <w:wAfter w:w="218" w:type="pct"/>
          <w:trHeight w:val="450"/>
        </w:trPr>
        <w:tc>
          <w:tcPr>
            <w:tcW w:w="519" w:type="pct"/>
            <w:shd w:val="clear" w:color="auto" w:fill="auto"/>
            <w:vAlign w:val="center"/>
            <w:hideMark/>
          </w:tcPr>
          <w:p w14:paraId="4612CC18"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1.- Ingresos de Libre Disposición (1=</w:t>
            </w:r>
            <w:proofErr w:type="spellStart"/>
            <w:r w:rsidRPr="005175AC">
              <w:rPr>
                <w:rFonts w:ascii="Arial" w:hAnsi="Arial" w:cs="Arial"/>
                <w:color w:val="000000"/>
                <w:sz w:val="12"/>
                <w:szCs w:val="12"/>
                <w:lang w:eastAsia="es-MX"/>
              </w:rPr>
              <w:t>A+B+C+D+E+F+G+H+I+J+K+L</w:t>
            </w:r>
            <w:proofErr w:type="spellEnd"/>
            <w:r w:rsidRPr="005175AC">
              <w:rPr>
                <w:rFonts w:ascii="Arial" w:hAnsi="Arial" w:cs="Arial"/>
                <w:color w:val="000000"/>
                <w:sz w:val="12"/>
                <w:szCs w:val="12"/>
                <w:lang w:eastAsia="es-MX"/>
              </w:rPr>
              <w:t>)</w:t>
            </w:r>
          </w:p>
        </w:tc>
        <w:tc>
          <w:tcPr>
            <w:tcW w:w="589" w:type="pct"/>
            <w:shd w:val="clear" w:color="auto" w:fill="auto"/>
            <w:vAlign w:val="center"/>
            <w:hideMark/>
          </w:tcPr>
          <w:p w14:paraId="5A2C8258" w14:textId="77777777" w:rsidR="00DD55F4" w:rsidRPr="005175AC" w:rsidRDefault="00DD55F4" w:rsidP="00296B6A">
            <w:pPr>
              <w:tabs>
                <w:tab w:val="left" w:pos="634"/>
              </w:tabs>
              <w:ind w:right="-67"/>
              <w:jc w:val="both"/>
              <w:rPr>
                <w:rFonts w:ascii="Arial" w:hAnsi="Arial" w:cs="Arial"/>
                <w:color w:val="000000"/>
                <w:sz w:val="12"/>
                <w:szCs w:val="12"/>
                <w:lang w:eastAsia="es-MX"/>
              </w:rPr>
            </w:pPr>
            <w:r w:rsidRPr="005175AC">
              <w:rPr>
                <w:rFonts w:ascii="Arial" w:hAnsi="Arial" w:cs="Arial"/>
                <w:color w:val="000000"/>
                <w:sz w:val="12"/>
                <w:szCs w:val="12"/>
                <w:lang w:eastAsia="es-MX"/>
              </w:rPr>
              <w:t>21,517,001,419.81</w:t>
            </w:r>
          </w:p>
        </w:tc>
        <w:tc>
          <w:tcPr>
            <w:tcW w:w="639" w:type="pct"/>
            <w:shd w:val="clear" w:color="auto" w:fill="auto"/>
            <w:vAlign w:val="center"/>
            <w:hideMark/>
          </w:tcPr>
          <w:p w14:paraId="78914AB3"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23,756,430,808.65</w:t>
            </w:r>
          </w:p>
        </w:tc>
        <w:tc>
          <w:tcPr>
            <w:tcW w:w="606" w:type="pct"/>
            <w:shd w:val="clear" w:color="auto" w:fill="auto"/>
            <w:vAlign w:val="center"/>
            <w:hideMark/>
          </w:tcPr>
          <w:p w14:paraId="78EBA1F8"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22,486,206,393.62</w:t>
            </w:r>
          </w:p>
        </w:tc>
        <w:tc>
          <w:tcPr>
            <w:tcW w:w="607" w:type="pct"/>
            <w:shd w:val="clear" w:color="auto" w:fill="auto"/>
            <w:vAlign w:val="center"/>
            <w:hideMark/>
          </w:tcPr>
          <w:p w14:paraId="02B1AB7F"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22,390,231,736.60</w:t>
            </w:r>
          </w:p>
        </w:tc>
        <w:tc>
          <w:tcPr>
            <w:tcW w:w="606" w:type="pct"/>
            <w:shd w:val="clear" w:color="auto" w:fill="auto"/>
            <w:vAlign w:val="center"/>
            <w:hideMark/>
          </w:tcPr>
          <w:p w14:paraId="750CD91C"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28,325,925,718.59</w:t>
            </w:r>
          </w:p>
        </w:tc>
        <w:tc>
          <w:tcPr>
            <w:tcW w:w="608" w:type="pct"/>
            <w:shd w:val="clear" w:color="auto" w:fill="auto"/>
            <w:vAlign w:val="center"/>
            <w:hideMark/>
          </w:tcPr>
          <w:p w14:paraId="08F20D4D"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32,066,749,570.49</w:t>
            </w:r>
          </w:p>
        </w:tc>
        <w:tc>
          <w:tcPr>
            <w:tcW w:w="608" w:type="pct"/>
            <w:shd w:val="clear" w:color="auto" w:fill="auto"/>
            <w:vAlign w:val="center"/>
            <w:hideMark/>
          </w:tcPr>
          <w:p w14:paraId="48F4EC68"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34,764,359,290.82</w:t>
            </w:r>
          </w:p>
        </w:tc>
      </w:tr>
      <w:tr w:rsidR="00DD55F4" w:rsidRPr="005175AC" w14:paraId="2F4F24EB" w14:textId="77777777" w:rsidTr="00296B6A">
        <w:trPr>
          <w:gridAfter w:val="1"/>
          <w:wAfter w:w="218" w:type="pct"/>
          <w:trHeight w:val="225"/>
        </w:trPr>
        <w:tc>
          <w:tcPr>
            <w:tcW w:w="519" w:type="pct"/>
            <w:shd w:val="clear" w:color="auto" w:fill="auto"/>
            <w:vAlign w:val="center"/>
            <w:hideMark/>
          </w:tcPr>
          <w:p w14:paraId="5E0E86D1"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A. Impuestos</w:t>
            </w:r>
          </w:p>
        </w:tc>
        <w:tc>
          <w:tcPr>
            <w:tcW w:w="589" w:type="pct"/>
            <w:shd w:val="clear" w:color="auto" w:fill="auto"/>
            <w:vAlign w:val="center"/>
            <w:hideMark/>
          </w:tcPr>
          <w:p w14:paraId="6E56E8BF"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1,348,522,088.55</w:t>
            </w:r>
          </w:p>
        </w:tc>
        <w:tc>
          <w:tcPr>
            <w:tcW w:w="639" w:type="pct"/>
            <w:shd w:val="clear" w:color="auto" w:fill="auto"/>
            <w:vAlign w:val="center"/>
            <w:hideMark/>
          </w:tcPr>
          <w:p w14:paraId="172BEC03"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1,365,814,790.30</w:t>
            </w:r>
          </w:p>
        </w:tc>
        <w:tc>
          <w:tcPr>
            <w:tcW w:w="606" w:type="pct"/>
            <w:shd w:val="clear" w:color="auto" w:fill="auto"/>
            <w:vAlign w:val="center"/>
            <w:hideMark/>
          </w:tcPr>
          <w:p w14:paraId="0B09F60D"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1,277,158,824.75</w:t>
            </w:r>
          </w:p>
        </w:tc>
        <w:tc>
          <w:tcPr>
            <w:tcW w:w="607" w:type="pct"/>
            <w:shd w:val="clear" w:color="auto" w:fill="auto"/>
            <w:vAlign w:val="center"/>
            <w:hideMark/>
          </w:tcPr>
          <w:p w14:paraId="183104BA"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1,637,944,791.85</w:t>
            </w:r>
          </w:p>
        </w:tc>
        <w:tc>
          <w:tcPr>
            <w:tcW w:w="606" w:type="pct"/>
            <w:shd w:val="clear" w:color="auto" w:fill="auto"/>
            <w:vAlign w:val="center"/>
            <w:hideMark/>
          </w:tcPr>
          <w:p w14:paraId="2B8F094C"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3,434,122,364.49</w:t>
            </w:r>
          </w:p>
        </w:tc>
        <w:tc>
          <w:tcPr>
            <w:tcW w:w="608" w:type="pct"/>
            <w:shd w:val="clear" w:color="auto" w:fill="auto"/>
            <w:vAlign w:val="center"/>
            <w:hideMark/>
          </w:tcPr>
          <w:p w14:paraId="29646527"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2,453,538,253.26</w:t>
            </w:r>
          </w:p>
        </w:tc>
        <w:tc>
          <w:tcPr>
            <w:tcW w:w="608" w:type="pct"/>
            <w:shd w:val="clear" w:color="auto" w:fill="auto"/>
            <w:vAlign w:val="center"/>
            <w:hideMark/>
          </w:tcPr>
          <w:p w14:paraId="0B895A05"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2,744,830,722.33</w:t>
            </w:r>
          </w:p>
        </w:tc>
      </w:tr>
      <w:tr w:rsidR="00DD55F4" w:rsidRPr="005175AC" w14:paraId="581613EB" w14:textId="77777777" w:rsidTr="00296B6A">
        <w:trPr>
          <w:gridAfter w:val="1"/>
          <w:wAfter w:w="218" w:type="pct"/>
          <w:trHeight w:val="225"/>
        </w:trPr>
        <w:tc>
          <w:tcPr>
            <w:tcW w:w="519" w:type="pct"/>
            <w:shd w:val="clear" w:color="auto" w:fill="auto"/>
            <w:vAlign w:val="center"/>
            <w:hideMark/>
          </w:tcPr>
          <w:p w14:paraId="0A482091"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B. Cuotas y Aportaciones de Seguridad Social</w:t>
            </w:r>
          </w:p>
        </w:tc>
        <w:tc>
          <w:tcPr>
            <w:tcW w:w="589" w:type="pct"/>
            <w:shd w:val="clear" w:color="auto" w:fill="auto"/>
            <w:vAlign w:val="center"/>
            <w:hideMark/>
          </w:tcPr>
          <w:p w14:paraId="0C162250"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39" w:type="pct"/>
            <w:shd w:val="clear" w:color="auto" w:fill="auto"/>
            <w:vAlign w:val="center"/>
            <w:hideMark/>
          </w:tcPr>
          <w:p w14:paraId="482EFD0D"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6" w:type="pct"/>
            <w:shd w:val="clear" w:color="auto" w:fill="auto"/>
            <w:vAlign w:val="center"/>
            <w:hideMark/>
          </w:tcPr>
          <w:p w14:paraId="4DAEB915"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7" w:type="pct"/>
            <w:shd w:val="clear" w:color="auto" w:fill="auto"/>
            <w:vAlign w:val="center"/>
            <w:hideMark/>
          </w:tcPr>
          <w:p w14:paraId="42FF40E8"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6" w:type="pct"/>
            <w:shd w:val="clear" w:color="auto" w:fill="auto"/>
            <w:vAlign w:val="center"/>
            <w:hideMark/>
          </w:tcPr>
          <w:p w14:paraId="5569DBCC"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shd w:val="clear" w:color="auto" w:fill="auto"/>
            <w:vAlign w:val="center"/>
            <w:hideMark/>
          </w:tcPr>
          <w:p w14:paraId="592200F1"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shd w:val="clear" w:color="auto" w:fill="auto"/>
            <w:vAlign w:val="center"/>
            <w:hideMark/>
          </w:tcPr>
          <w:p w14:paraId="088B039B"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DD55F4" w:rsidRPr="005175AC" w14:paraId="09D1A49E" w14:textId="77777777" w:rsidTr="00296B6A">
        <w:trPr>
          <w:gridAfter w:val="1"/>
          <w:wAfter w:w="218" w:type="pct"/>
          <w:trHeight w:val="225"/>
        </w:trPr>
        <w:tc>
          <w:tcPr>
            <w:tcW w:w="519" w:type="pct"/>
            <w:shd w:val="clear" w:color="auto" w:fill="auto"/>
            <w:vAlign w:val="center"/>
            <w:hideMark/>
          </w:tcPr>
          <w:p w14:paraId="62070A91"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C. Contribuciones de Mejoras</w:t>
            </w:r>
          </w:p>
        </w:tc>
        <w:tc>
          <w:tcPr>
            <w:tcW w:w="589" w:type="pct"/>
            <w:shd w:val="clear" w:color="auto" w:fill="auto"/>
            <w:vAlign w:val="center"/>
            <w:hideMark/>
          </w:tcPr>
          <w:p w14:paraId="432D419B"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19,709,908.38</w:t>
            </w:r>
          </w:p>
        </w:tc>
        <w:tc>
          <w:tcPr>
            <w:tcW w:w="639" w:type="pct"/>
            <w:shd w:val="clear" w:color="auto" w:fill="auto"/>
            <w:vAlign w:val="center"/>
            <w:hideMark/>
          </w:tcPr>
          <w:p w14:paraId="3A3AA47C"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21,254,022.00</w:t>
            </w:r>
          </w:p>
        </w:tc>
        <w:tc>
          <w:tcPr>
            <w:tcW w:w="606" w:type="pct"/>
            <w:shd w:val="clear" w:color="auto" w:fill="auto"/>
            <w:vAlign w:val="center"/>
            <w:hideMark/>
          </w:tcPr>
          <w:p w14:paraId="76C50654"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43,717,264.39</w:t>
            </w:r>
          </w:p>
        </w:tc>
        <w:tc>
          <w:tcPr>
            <w:tcW w:w="607" w:type="pct"/>
            <w:shd w:val="clear" w:color="auto" w:fill="auto"/>
            <w:vAlign w:val="center"/>
            <w:hideMark/>
          </w:tcPr>
          <w:p w14:paraId="7F90CA2F"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19,768,413.66</w:t>
            </w:r>
          </w:p>
        </w:tc>
        <w:tc>
          <w:tcPr>
            <w:tcW w:w="606" w:type="pct"/>
            <w:shd w:val="clear" w:color="auto" w:fill="auto"/>
            <w:vAlign w:val="center"/>
            <w:hideMark/>
          </w:tcPr>
          <w:p w14:paraId="70A96F12"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20,925,026.04</w:t>
            </w:r>
          </w:p>
        </w:tc>
        <w:tc>
          <w:tcPr>
            <w:tcW w:w="608" w:type="pct"/>
            <w:shd w:val="clear" w:color="auto" w:fill="auto"/>
            <w:vAlign w:val="center"/>
            <w:hideMark/>
          </w:tcPr>
          <w:p w14:paraId="2F170B70"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22,795,395.90</w:t>
            </w:r>
          </w:p>
        </w:tc>
        <w:tc>
          <w:tcPr>
            <w:tcW w:w="608" w:type="pct"/>
            <w:shd w:val="clear" w:color="auto" w:fill="auto"/>
            <w:vAlign w:val="center"/>
            <w:hideMark/>
          </w:tcPr>
          <w:p w14:paraId="221E91F2"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43,424,053.82</w:t>
            </w:r>
          </w:p>
        </w:tc>
      </w:tr>
      <w:tr w:rsidR="00DD55F4" w:rsidRPr="005175AC" w14:paraId="7DF66CB7" w14:textId="77777777" w:rsidTr="00296B6A">
        <w:trPr>
          <w:gridAfter w:val="1"/>
          <w:wAfter w:w="218" w:type="pct"/>
          <w:trHeight w:val="225"/>
        </w:trPr>
        <w:tc>
          <w:tcPr>
            <w:tcW w:w="519" w:type="pct"/>
            <w:shd w:val="clear" w:color="auto" w:fill="auto"/>
            <w:vAlign w:val="center"/>
            <w:hideMark/>
          </w:tcPr>
          <w:p w14:paraId="4AA5019D"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D. Derechos</w:t>
            </w:r>
          </w:p>
        </w:tc>
        <w:tc>
          <w:tcPr>
            <w:tcW w:w="589" w:type="pct"/>
            <w:shd w:val="clear" w:color="auto" w:fill="auto"/>
            <w:vAlign w:val="center"/>
            <w:hideMark/>
          </w:tcPr>
          <w:p w14:paraId="373BB110"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2,955,039,731.83</w:t>
            </w:r>
          </w:p>
        </w:tc>
        <w:tc>
          <w:tcPr>
            <w:tcW w:w="639" w:type="pct"/>
            <w:shd w:val="clear" w:color="auto" w:fill="auto"/>
            <w:vAlign w:val="center"/>
            <w:hideMark/>
          </w:tcPr>
          <w:p w14:paraId="0804822A"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1,002,347,800.38</w:t>
            </w:r>
          </w:p>
        </w:tc>
        <w:tc>
          <w:tcPr>
            <w:tcW w:w="606" w:type="pct"/>
            <w:shd w:val="clear" w:color="auto" w:fill="auto"/>
            <w:vAlign w:val="center"/>
            <w:hideMark/>
          </w:tcPr>
          <w:p w14:paraId="30024672"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887,553,052.61</w:t>
            </w:r>
          </w:p>
        </w:tc>
        <w:tc>
          <w:tcPr>
            <w:tcW w:w="607" w:type="pct"/>
            <w:shd w:val="clear" w:color="auto" w:fill="auto"/>
            <w:vAlign w:val="center"/>
            <w:hideMark/>
          </w:tcPr>
          <w:p w14:paraId="62555E4D"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1,049,958,504.38</w:t>
            </w:r>
          </w:p>
        </w:tc>
        <w:tc>
          <w:tcPr>
            <w:tcW w:w="606" w:type="pct"/>
            <w:shd w:val="clear" w:color="auto" w:fill="auto"/>
            <w:vAlign w:val="center"/>
            <w:hideMark/>
          </w:tcPr>
          <w:p w14:paraId="000F967B"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1,132,390,111.43</w:t>
            </w:r>
          </w:p>
        </w:tc>
        <w:tc>
          <w:tcPr>
            <w:tcW w:w="608" w:type="pct"/>
            <w:shd w:val="clear" w:color="auto" w:fill="auto"/>
            <w:vAlign w:val="center"/>
            <w:hideMark/>
          </w:tcPr>
          <w:p w14:paraId="710C8C60"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1,654,713,253.93</w:t>
            </w:r>
          </w:p>
        </w:tc>
        <w:tc>
          <w:tcPr>
            <w:tcW w:w="608" w:type="pct"/>
            <w:shd w:val="clear" w:color="auto" w:fill="auto"/>
            <w:vAlign w:val="center"/>
            <w:hideMark/>
          </w:tcPr>
          <w:p w14:paraId="097238B7"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1,346,315,414.71</w:t>
            </w:r>
          </w:p>
        </w:tc>
      </w:tr>
      <w:tr w:rsidR="00DD55F4" w:rsidRPr="005175AC" w14:paraId="2B425026" w14:textId="77777777" w:rsidTr="00296B6A">
        <w:trPr>
          <w:gridAfter w:val="1"/>
          <w:wAfter w:w="218" w:type="pct"/>
          <w:trHeight w:val="225"/>
        </w:trPr>
        <w:tc>
          <w:tcPr>
            <w:tcW w:w="519" w:type="pct"/>
            <w:shd w:val="clear" w:color="auto" w:fill="auto"/>
            <w:vAlign w:val="center"/>
            <w:hideMark/>
          </w:tcPr>
          <w:p w14:paraId="71B59712"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E. Productos</w:t>
            </w:r>
          </w:p>
        </w:tc>
        <w:tc>
          <w:tcPr>
            <w:tcW w:w="589" w:type="pct"/>
            <w:shd w:val="clear" w:color="auto" w:fill="auto"/>
            <w:vAlign w:val="center"/>
            <w:hideMark/>
          </w:tcPr>
          <w:p w14:paraId="5E7191A3"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449,780,307.23</w:t>
            </w:r>
          </w:p>
        </w:tc>
        <w:tc>
          <w:tcPr>
            <w:tcW w:w="639" w:type="pct"/>
            <w:shd w:val="clear" w:color="auto" w:fill="auto"/>
            <w:vAlign w:val="center"/>
            <w:hideMark/>
          </w:tcPr>
          <w:p w14:paraId="45ECFD0C"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227,870,044.27</w:t>
            </w:r>
          </w:p>
        </w:tc>
        <w:tc>
          <w:tcPr>
            <w:tcW w:w="606" w:type="pct"/>
            <w:shd w:val="clear" w:color="auto" w:fill="auto"/>
            <w:vAlign w:val="center"/>
            <w:hideMark/>
          </w:tcPr>
          <w:p w14:paraId="2FB47F3D"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198,537,810.48</w:t>
            </w:r>
          </w:p>
        </w:tc>
        <w:tc>
          <w:tcPr>
            <w:tcW w:w="607" w:type="pct"/>
            <w:shd w:val="clear" w:color="auto" w:fill="auto"/>
            <w:vAlign w:val="center"/>
            <w:hideMark/>
          </w:tcPr>
          <w:p w14:paraId="3A8224BF"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180,933,596.81</w:t>
            </w:r>
          </w:p>
        </w:tc>
        <w:tc>
          <w:tcPr>
            <w:tcW w:w="606" w:type="pct"/>
            <w:shd w:val="clear" w:color="auto" w:fill="auto"/>
            <w:vAlign w:val="center"/>
            <w:hideMark/>
          </w:tcPr>
          <w:p w14:paraId="2DC88835"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348,823,395.85</w:t>
            </w:r>
          </w:p>
        </w:tc>
        <w:tc>
          <w:tcPr>
            <w:tcW w:w="608" w:type="pct"/>
            <w:shd w:val="clear" w:color="auto" w:fill="auto"/>
            <w:vAlign w:val="center"/>
            <w:hideMark/>
          </w:tcPr>
          <w:p w14:paraId="011E2469"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944,430,738.18</w:t>
            </w:r>
          </w:p>
        </w:tc>
        <w:tc>
          <w:tcPr>
            <w:tcW w:w="608" w:type="pct"/>
            <w:shd w:val="clear" w:color="auto" w:fill="auto"/>
            <w:vAlign w:val="center"/>
            <w:hideMark/>
          </w:tcPr>
          <w:p w14:paraId="7C678ABC"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1,150,556,477.35</w:t>
            </w:r>
          </w:p>
        </w:tc>
      </w:tr>
      <w:tr w:rsidR="00DD55F4" w:rsidRPr="005175AC" w14:paraId="40C03E2B" w14:textId="77777777" w:rsidTr="00296B6A">
        <w:trPr>
          <w:gridAfter w:val="1"/>
          <w:wAfter w:w="218" w:type="pct"/>
          <w:trHeight w:val="225"/>
        </w:trPr>
        <w:tc>
          <w:tcPr>
            <w:tcW w:w="519" w:type="pct"/>
            <w:shd w:val="clear" w:color="auto" w:fill="auto"/>
            <w:vAlign w:val="center"/>
            <w:hideMark/>
          </w:tcPr>
          <w:p w14:paraId="2A099EF1"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F. Aprovechamientos</w:t>
            </w:r>
          </w:p>
        </w:tc>
        <w:tc>
          <w:tcPr>
            <w:tcW w:w="589" w:type="pct"/>
            <w:shd w:val="clear" w:color="auto" w:fill="auto"/>
            <w:vAlign w:val="center"/>
            <w:hideMark/>
          </w:tcPr>
          <w:p w14:paraId="4E2354EC"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376,019,922.85</w:t>
            </w:r>
          </w:p>
        </w:tc>
        <w:tc>
          <w:tcPr>
            <w:tcW w:w="639" w:type="pct"/>
            <w:shd w:val="clear" w:color="auto" w:fill="auto"/>
            <w:vAlign w:val="center"/>
            <w:hideMark/>
          </w:tcPr>
          <w:p w14:paraId="3C7DC59D"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342,995,469.27</w:t>
            </w:r>
          </w:p>
        </w:tc>
        <w:tc>
          <w:tcPr>
            <w:tcW w:w="606" w:type="pct"/>
            <w:shd w:val="clear" w:color="auto" w:fill="auto"/>
            <w:vAlign w:val="center"/>
            <w:hideMark/>
          </w:tcPr>
          <w:p w14:paraId="4012F6BF"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350,381,187.48</w:t>
            </w:r>
          </w:p>
        </w:tc>
        <w:tc>
          <w:tcPr>
            <w:tcW w:w="607" w:type="pct"/>
            <w:shd w:val="clear" w:color="auto" w:fill="auto"/>
            <w:vAlign w:val="center"/>
            <w:hideMark/>
          </w:tcPr>
          <w:p w14:paraId="3290C7A4"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335,606,350.42</w:t>
            </w:r>
          </w:p>
        </w:tc>
        <w:tc>
          <w:tcPr>
            <w:tcW w:w="606" w:type="pct"/>
            <w:shd w:val="clear" w:color="auto" w:fill="auto"/>
            <w:vAlign w:val="center"/>
            <w:hideMark/>
          </w:tcPr>
          <w:p w14:paraId="7747B8A4"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430,409,418.94</w:t>
            </w:r>
          </w:p>
        </w:tc>
        <w:tc>
          <w:tcPr>
            <w:tcW w:w="608" w:type="pct"/>
            <w:shd w:val="clear" w:color="auto" w:fill="auto"/>
            <w:vAlign w:val="center"/>
            <w:hideMark/>
          </w:tcPr>
          <w:p w14:paraId="15835228"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517,551,415.71</w:t>
            </w:r>
          </w:p>
        </w:tc>
        <w:tc>
          <w:tcPr>
            <w:tcW w:w="608" w:type="pct"/>
            <w:shd w:val="clear" w:color="auto" w:fill="auto"/>
            <w:vAlign w:val="center"/>
            <w:hideMark/>
          </w:tcPr>
          <w:p w14:paraId="69F395A1"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424,063,994.45</w:t>
            </w:r>
          </w:p>
        </w:tc>
      </w:tr>
      <w:tr w:rsidR="00DD55F4" w:rsidRPr="005175AC" w14:paraId="5DFFF5C1" w14:textId="77777777" w:rsidTr="00296B6A">
        <w:trPr>
          <w:gridAfter w:val="1"/>
          <w:wAfter w:w="218" w:type="pct"/>
          <w:trHeight w:val="225"/>
        </w:trPr>
        <w:tc>
          <w:tcPr>
            <w:tcW w:w="519" w:type="pct"/>
            <w:shd w:val="clear" w:color="auto" w:fill="auto"/>
            <w:vAlign w:val="center"/>
            <w:hideMark/>
          </w:tcPr>
          <w:p w14:paraId="2A1DDB0D"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G. Ingresos por Ventas de Bienes y Servicios</w:t>
            </w:r>
          </w:p>
        </w:tc>
        <w:tc>
          <w:tcPr>
            <w:tcW w:w="589" w:type="pct"/>
            <w:shd w:val="clear" w:color="auto" w:fill="auto"/>
            <w:vAlign w:val="center"/>
            <w:hideMark/>
          </w:tcPr>
          <w:p w14:paraId="56695CFC"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39" w:type="pct"/>
            <w:shd w:val="clear" w:color="auto" w:fill="auto"/>
            <w:vAlign w:val="center"/>
            <w:hideMark/>
          </w:tcPr>
          <w:p w14:paraId="23211287"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2,019,223,027.17</w:t>
            </w:r>
          </w:p>
        </w:tc>
        <w:tc>
          <w:tcPr>
            <w:tcW w:w="606" w:type="pct"/>
            <w:shd w:val="clear" w:color="auto" w:fill="auto"/>
            <w:vAlign w:val="center"/>
            <w:hideMark/>
          </w:tcPr>
          <w:p w14:paraId="46D09CDC"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1,514,460,556.04</w:t>
            </w:r>
          </w:p>
        </w:tc>
        <w:tc>
          <w:tcPr>
            <w:tcW w:w="607" w:type="pct"/>
            <w:shd w:val="clear" w:color="auto" w:fill="auto"/>
            <w:vAlign w:val="center"/>
            <w:hideMark/>
          </w:tcPr>
          <w:p w14:paraId="4C1E7944"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1,691,991,050.64</w:t>
            </w:r>
          </w:p>
        </w:tc>
        <w:tc>
          <w:tcPr>
            <w:tcW w:w="606" w:type="pct"/>
            <w:shd w:val="clear" w:color="auto" w:fill="auto"/>
            <w:vAlign w:val="center"/>
            <w:hideMark/>
          </w:tcPr>
          <w:p w14:paraId="481EFB45"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2,013,089,854.90</w:t>
            </w:r>
          </w:p>
        </w:tc>
        <w:tc>
          <w:tcPr>
            <w:tcW w:w="608" w:type="pct"/>
            <w:shd w:val="clear" w:color="auto" w:fill="auto"/>
            <w:vAlign w:val="center"/>
            <w:hideMark/>
          </w:tcPr>
          <w:p w14:paraId="679A708A"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2,037,226,310.92</w:t>
            </w:r>
          </w:p>
        </w:tc>
        <w:tc>
          <w:tcPr>
            <w:tcW w:w="608" w:type="pct"/>
            <w:shd w:val="clear" w:color="auto" w:fill="auto"/>
            <w:vAlign w:val="center"/>
            <w:hideMark/>
          </w:tcPr>
          <w:p w14:paraId="2ADC3C3F"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2,346,639,175.81</w:t>
            </w:r>
          </w:p>
        </w:tc>
      </w:tr>
      <w:tr w:rsidR="00DD55F4" w:rsidRPr="005175AC" w14:paraId="6F5E6C50" w14:textId="77777777" w:rsidTr="00296B6A">
        <w:trPr>
          <w:gridAfter w:val="1"/>
          <w:wAfter w:w="218" w:type="pct"/>
          <w:trHeight w:val="225"/>
        </w:trPr>
        <w:tc>
          <w:tcPr>
            <w:tcW w:w="519" w:type="pct"/>
            <w:shd w:val="clear" w:color="auto" w:fill="auto"/>
            <w:vAlign w:val="center"/>
            <w:hideMark/>
          </w:tcPr>
          <w:p w14:paraId="3F83E825"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H. Participaciones</w:t>
            </w:r>
          </w:p>
        </w:tc>
        <w:tc>
          <w:tcPr>
            <w:tcW w:w="589" w:type="pct"/>
            <w:shd w:val="clear" w:color="auto" w:fill="auto"/>
            <w:vAlign w:val="center"/>
            <w:hideMark/>
          </w:tcPr>
          <w:p w14:paraId="426DB705"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15,874,524,383.64</w:t>
            </w:r>
          </w:p>
        </w:tc>
        <w:tc>
          <w:tcPr>
            <w:tcW w:w="639" w:type="pct"/>
            <w:shd w:val="clear" w:color="auto" w:fill="auto"/>
            <w:vAlign w:val="center"/>
            <w:hideMark/>
          </w:tcPr>
          <w:p w14:paraId="06132405"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18,260,075,283.00</w:t>
            </w:r>
          </w:p>
        </w:tc>
        <w:tc>
          <w:tcPr>
            <w:tcW w:w="606" w:type="pct"/>
            <w:shd w:val="clear" w:color="auto" w:fill="auto"/>
            <w:vAlign w:val="center"/>
            <w:hideMark/>
          </w:tcPr>
          <w:p w14:paraId="27598831"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17,790,918,074.00</w:t>
            </w:r>
          </w:p>
        </w:tc>
        <w:tc>
          <w:tcPr>
            <w:tcW w:w="607" w:type="pct"/>
            <w:shd w:val="clear" w:color="auto" w:fill="auto"/>
            <w:vAlign w:val="center"/>
            <w:hideMark/>
          </w:tcPr>
          <w:p w14:paraId="30CA985E"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16,955,251,480.00</w:t>
            </w:r>
          </w:p>
        </w:tc>
        <w:tc>
          <w:tcPr>
            <w:tcW w:w="606" w:type="pct"/>
            <w:shd w:val="clear" w:color="auto" w:fill="auto"/>
            <w:vAlign w:val="center"/>
            <w:hideMark/>
          </w:tcPr>
          <w:p w14:paraId="67441C72"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20,440,347,863.00</w:t>
            </w:r>
          </w:p>
        </w:tc>
        <w:tc>
          <w:tcPr>
            <w:tcW w:w="608" w:type="pct"/>
            <w:shd w:val="clear" w:color="auto" w:fill="auto"/>
            <w:vAlign w:val="center"/>
            <w:hideMark/>
          </w:tcPr>
          <w:p w14:paraId="3B043A80"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23,821,239,463.00</w:t>
            </w:r>
          </w:p>
        </w:tc>
        <w:tc>
          <w:tcPr>
            <w:tcW w:w="608" w:type="pct"/>
            <w:shd w:val="clear" w:color="auto" w:fill="auto"/>
            <w:vAlign w:val="center"/>
            <w:hideMark/>
          </w:tcPr>
          <w:p w14:paraId="2C45085C"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26,041,900,799.00</w:t>
            </w:r>
          </w:p>
        </w:tc>
      </w:tr>
      <w:tr w:rsidR="00DD55F4" w:rsidRPr="005175AC" w14:paraId="0330C058" w14:textId="77777777" w:rsidTr="00296B6A">
        <w:trPr>
          <w:gridAfter w:val="1"/>
          <w:wAfter w:w="218" w:type="pct"/>
          <w:trHeight w:val="450"/>
        </w:trPr>
        <w:tc>
          <w:tcPr>
            <w:tcW w:w="519" w:type="pct"/>
            <w:shd w:val="clear" w:color="auto" w:fill="auto"/>
            <w:vAlign w:val="center"/>
            <w:hideMark/>
          </w:tcPr>
          <w:p w14:paraId="146E306D"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I. Incentivos Derivados de la Colaboración Fiscal</w:t>
            </w:r>
          </w:p>
        </w:tc>
        <w:tc>
          <w:tcPr>
            <w:tcW w:w="589" w:type="pct"/>
            <w:shd w:val="clear" w:color="auto" w:fill="auto"/>
            <w:vAlign w:val="center"/>
            <w:hideMark/>
          </w:tcPr>
          <w:p w14:paraId="624486B5"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493,405,077.33</w:t>
            </w:r>
          </w:p>
        </w:tc>
        <w:tc>
          <w:tcPr>
            <w:tcW w:w="639" w:type="pct"/>
            <w:shd w:val="clear" w:color="auto" w:fill="auto"/>
            <w:vAlign w:val="center"/>
            <w:hideMark/>
          </w:tcPr>
          <w:p w14:paraId="79F0C809"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516,850,372.26</w:t>
            </w:r>
          </w:p>
        </w:tc>
        <w:tc>
          <w:tcPr>
            <w:tcW w:w="606" w:type="pct"/>
            <w:shd w:val="clear" w:color="auto" w:fill="auto"/>
            <w:vAlign w:val="center"/>
            <w:hideMark/>
          </w:tcPr>
          <w:p w14:paraId="2536EBE5"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423,479,623.87</w:t>
            </w:r>
          </w:p>
        </w:tc>
        <w:tc>
          <w:tcPr>
            <w:tcW w:w="607" w:type="pct"/>
            <w:shd w:val="clear" w:color="auto" w:fill="auto"/>
            <w:vAlign w:val="center"/>
            <w:hideMark/>
          </w:tcPr>
          <w:p w14:paraId="470475F3"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518,777,548.84</w:t>
            </w:r>
          </w:p>
        </w:tc>
        <w:tc>
          <w:tcPr>
            <w:tcW w:w="606" w:type="pct"/>
            <w:shd w:val="clear" w:color="auto" w:fill="auto"/>
            <w:vAlign w:val="center"/>
            <w:hideMark/>
          </w:tcPr>
          <w:p w14:paraId="112DC93E"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505,817,683.94</w:t>
            </w:r>
          </w:p>
        </w:tc>
        <w:tc>
          <w:tcPr>
            <w:tcW w:w="608" w:type="pct"/>
            <w:shd w:val="clear" w:color="auto" w:fill="auto"/>
            <w:vAlign w:val="center"/>
            <w:hideMark/>
          </w:tcPr>
          <w:p w14:paraId="248DFA76"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615,254,739.59</w:t>
            </w:r>
          </w:p>
        </w:tc>
        <w:tc>
          <w:tcPr>
            <w:tcW w:w="608" w:type="pct"/>
            <w:shd w:val="clear" w:color="auto" w:fill="auto"/>
            <w:vAlign w:val="center"/>
            <w:hideMark/>
          </w:tcPr>
          <w:p w14:paraId="75CE3769"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666,628,653.35</w:t>
            </w:r>
          </w:p>
        </w:tc>
      </w:tr>
      <w:tr w:rsidR="00DD55F4" w:rsidRPr="005175AC" w14:paraId="7FF373BA" w14:textId="77777777" w:rsidTr="00296B6A">
        <w:trPr>
          <w:gridAfter w:val="1"/>
          <w:wAfter w:w="218" w:type="pct"/>
          <w:trHeight w:val="225"/>
        </w:trPr>
        <w:tc>
          <w:tcPr>
            <w:tcW w:w="519" w:type="pct"/>
            <w:shd w:val="clear" w:color="auto" w:fill="auto"/>
            <w:vAlign w:val="center"/>
            <w:hideMark/>
          </w:tcPr>
          <w:p w14:paraId="004F9390"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J. Transferencias</w:t>
            </w:r>
          </w:p>
        </w:tc>
        <w:tc>
          <w:tcPr>
            <w:tcW w:w="589" w:type="pct"/>
            <w:shd w:val="clear" w:color="auto" w:fill="auto"/>
            <w:noWrap/>
            <w:vAlign w:val="center"/>
            <w:hideMark/>
          </w:tcPr>
          <w:p w14:paraId="07DCB982"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39" w:type="pct"/>
            <w:shd w:val="clear" w:color="auto" w:fill="auto"/>
            <w:noWrap/>
            <w:vAlign w:val="center"/>
            <w:hideMark/>
          </w:tcPr>
          <w:p w14:paraId="39C5718F"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6" w:type="pct"/>
            <w:shd w:val="clear" w:color="auto" w:fill="auto"/>
            <w:noWrap/>
            <w:vAlign w:val="center"/>
            <w:hideMark/>
          </w:tcPr>
          <w:p w14:paraId="66A25386"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7" w:type="pct"/>
            <w:shd w:val="clear" w:color="auto" w:fill="auto"/>
            <w:noWrap/>
            <w:vAlign w:val="center"/>
            <w:hideMark/>
          </w:tcPr>
          <w:p w14:paraId="7C6B1943"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6" w:type="pct"/>
            <w:shd w:val="clear" w:color="auto" w:fill="auto"/>
            <w:noWrap/>
            <w:vAlign w:val="center"/>
            <w:hideMark/>
          </w:tcPr>
          <w:p w14:paraId="33B51A86"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shd w:val="clear" w:color="auto" w:fill="auto"/>
            <w:vAlign w:val="center"/>
            <w:hideMark/>
          </w:tcPr>
          <w:p w14:paraId="45C751D5"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shd w:val="clear" w:color="auto" w:fill="auto"/>
            <w:vAlign w:val="center"/>
            <w:hideMark/>
          </w:tcPr>
          <w:p w14:paraId="0A9B3957"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DD55F4" w:rsidRPr="005175AC" w14:paraId="6C441363" w14:textId="77777777" w:rsidTr="00296B6A">
        <w:trPr>
          <w:gridAfter w:val="1"/>
          <w:wAfter w:w="218" w:type="pct"/>
          <w:trHeight w:val="225"/>
        </w:trPr>
        <w:tc>
          <w:tcPr>
            <w:tcW w:w="519" w:type="pct"/>
            <w:shd w:val="clear" w:color="auto" w:fill="auto"/>
            <w:vAlign w:val="center"/>
            <w:hideMark/>
          </w:tcPr>
          <w:p w14:paraId="39AB9E75"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K. Convenios</w:t>
            </w:r>
          </w:p>
        </w:tc>
        <w:tc>
          <w:tcPr>
            <w:tcW w:w="589" w:type="pct"/>
            <w:shd w:val="clear" w:color="auto" w:fill="auto"/>
            <w:noWrap/>
            <w:vAlign w:val="center"/>
            <w:hideMark/>
          </w:tcPr>
          <w:p w14:paraId="07EAB9F6"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39" w:type="pct"/>
            <w:shd w:val="clear" w:color="auto" w:fill="auto"/>
            <w:noWrap/>
            <w:vAlign w:val="center"/>
            <w:hideMark/>
          </w:tcPr>
          <w:p w14:paraId="52ECC278"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6" w:type="pct"/>
            <w:shd w:val="clear" w:color="auto" w:fill="auto"/>
            <w:noWrap/>
            <w:vAlign w:val="center"/>
            <w:hideMark/>
          </w:tcPr>
          <w:p w14:paraId="5FED66F5"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7" w:type="pct"/>
            <w:shd w:val="clear" w:color="auto" w:fill="auto"/>
            <w:noWrap/>
            <w:vAlign w:val="center"/>
            <w:hideMark/>
          </w:tcPr>
          <w:p w14:paraId="3193BE64"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6" w:type="pct"/>
            <w:shd w:val="clear" w:color="auto" w:fill="auto"/>
            <w:noWrap/>
            <w:vAlign w:val="center"/>
            <w:hideMark/>
          </w:tcPr>
          <w:p w14:paraId="0BFBBFB3"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shd w:val="clear" w:color="auto" w:fill="auto"/>
            <w:vAlign w:val="center"/>
            <w:hideMark/>
          </w:tcPr>
          <w:p w14:paraId="53F5E070"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shd w:val="clear" w:color="auto" w:fill="auto"/>
            <w:vAlign w:val="center"/>
            <w:hideMark/>
          </w:tcPr>
          <w:p w14:paraId="1AAFFB30"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DD55F4" w:rsidRPr="005175AC" w14:paraId="326AEAE6" w14:textId="77777777" w:rsidTr="00296B6A">
        <w:trPr>
          <w:gridAfter w:val="1"/>
          <w:wAfter w:w="218" w:type="pct"/>
          <w:trHeight w:val="225"/>
        </w:trPr>
        <w:tc>
          <w:tcPr>
            <w:tcW w:w="519" w:type="pct"/>
            <w:shd w:val="clear" w:color="auto" w:fill="auto"/>
            <w:vAlign w:val="center"/>
            <w:hideMark/>
          </w:tcPr>
          <w:p w14:paraId="0AA8AA97"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L. Otros Ingresos de Libre Disposición</w:t>
            </w:r>
          </w:p>
        </w:tc>
        <w:tc>
          <w:tcPr>
            <w:tcW w:w="589" w:type="pct"/>
            <w:shd w:val="clear" w:color="auto" w:fill="auto"/>
            <w:noWrap/>
            <w:vAlign w:val="center"/>
            <w:hideMark/>
          </w:tcPr>
          <w:p w14:paraId="03A50C72"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39" w:type="pct"/>
            <w:shd w:val="clear" w:color="auto" w:fill="auto"/>
            <w:noWrap/>
            <w:vAlign w:val="center"/>
            <w:hideMark/>
          </w:tcPr>
          <w:p w14:paraId="6DDB1D9F"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6" w:type="pct"/>
            <w:shd w:val="clear" w:color="auto" w:fill="auto"/>
            <w:noWrap/>
            <w:vAlign w:val="center"/>
            <w:hideMark/>
          </w:tcPr>
          <w:p w14:paraId="0A0C3D0C"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7" w:type="pct"/>
            <w:shd w:val="clear" w:color="auto" w:fill="auto"/>
            <w:noWrap/>
            <w:vAlign w:val="center"/>
            <w:hideMark/>
          </w:tcPr>
          <w:p w14:paraId="128EB893"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6" w:type="pct"/>
            <w:shd w:val="clear" w:color="auto" w:fill="auto"/>
            <w:noWrap/>
            <w:vAlign w:val="center"/>
            <w:hideMark/>
          </w:tcPr>
          <w:p w14:paraId="084B9042"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shd w:val="clear" w:color="auto" w:fill="auto"/>
            <w:vAlign w:val="center"/>
            <w:hideMark/>
          </w:tcPr>
          <w:p w14:paraId="55E9F7EF"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shd w:val="clear" w:color="auto" w:fill="auto"/>
            <w:vAlign w:val="center"/>
            <w:hideMark/>
          </w:tcPr>
          <w:p w14:paraId="0BD9825D"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DD55F4" w:rsidRPr="005175AC" w14:paraId="1D1084EB" w14:textId="77777777" w:rsidTr="00296B6A">
        <w:trPr>
          <w:gridAfter w:val="1"/>
          <w:wAfter w:w="218" w:type="pct"/>
          <w:trHeight w:val="450"/>
        </w:trPr>
        <w:tc>
          <w:tcPr>
            <w:tcW w:w="519" w:type="pct"/>
            <w:shd w:val="clear" w:color="auto" w:fill="auto"/>
            <w:vAlign w:val="center"/>
            <w:hideMark/>
          </w:tcPr>
          <w:p w14:paraId="4AC24D79" w14:textId="77777777" w:rsidR="00DD55F4" w:rsidRPr="00CB2A3D" w:rsidRDefault="00DD55F4" w:rsidP="00296B6A">
            <w:pPr>
              <w:ind w:right="-67"/>
              <w:rPr>
                <w:rFonts w:ascii="Arial" w:hAnsi="Arial" w:cs="Arial"/>
                <w:color w:val="000000"/>
                <w:sz w:val="12"/>
                <w:szCs w:val="12"/>
                <w:lang w:val="pt-PT" w:eastAsia="es-MX"/>
              </w:rPr>
            </w:pPr>
            <w:r w:rsidRPr="00CB2A3D">
              <w:rPr>
                <w:rFonts w:ascii="Arial" w:hAnsi="Arial" w:cs="Arial"/>
                <w:color w:val="000000"/>
                <w:sz w:val="12"/>
                <w:szCs w:val="12"/>
                <w:lang w:val="pt-PT" w:eastAsia="es-MX"/>
              </w:rPr>
              <w:t>2.- Transferencias Federales Etiquetadas (2=A+B+C+D+E)</w:t>
            </w:r>
          </w:p>
        </w:tc>
        <w:tc>
          <w:tcPr>
            <w:tcW w:w="589" w:type="pct"/>
            <w:shd w:val="clear" w:color="auto" w:fill="auto"/>
            <w:vAlign w:val="center"/>
            <w:hideMark/>
          </w:tcPr>
          <w:p w14:paraId="1B230595"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31,004,935,003.16</w:t>
            </w:r>
          </w:p>
        </w:tc>
        <w:tc>
          <w:tcPr>
            <w:tcW w:w="639" w:type="pct"/>
            <w:shd w:val="clear" w:color="auto" w:fill="auto"/>
            <w:vAlign w:val="center"/>
            <w:hideMark/>
          </w:tcPr>
          <w:p w14:paraId="2999EAD0"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30,849,259,923.41</w:t>
            </w:r>
          </w:p>
        </w:tc>
        <w:tc>
          <w:tcPr>
            <w:tcW w:w="606" w:type="pct"/>
            <w:shd w:val="clear" w:color="auto" w:fill="auto"/>
            <w:vAlign w:val="center"/>
            <w:hideMark/>
          </w:tcPr>
          <w:p w14:paraId="10D2048F"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30,643,615,384.81</w:t>
            </w:r>
          </w:p>
        </w:tc>
        <w:tc>
          <w:tcPr>
            <w:tcW w:w="607" w:type="pct"/>
            <w:shd w:val="clear" w:color="auto" w:fill="auto"/>
            <w:vAlign w:val="center"/>
            <w:hideMark/>
          </w:tcPr>
          <w:p w14:paraId="64059101"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30,501,934,590.88</w:t>
            </w:r>
          </w:p>
        </w:tc>
        <w:tc>
          <w:tcPr>
            <w:tcW w:w="606" w:type="pct"/>
            <w:shd w:val="clear" w:color="auto" w:fill="auto"/>
            <w:vAlign w:val="center"/>
            <w:hideMark/>
          </w:tcPr>
          <w:p w14:paraId="4498AFE6"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33,501,619,193.70</w:t>
            </w:r>
          </w:p>
        </w:tc>
        <w:tc>
          <w:tcPr>
            <w:tcW w:w="608" w:type="pct"/>
            <w:shd w:val="clear" w:color="auto" w:fill="auto"/>
            <w:vAlign w:val="center"/>
            <w:hideMark/>
          </w:tcPr>
          <w:p w14:paraId="30A0F0E8"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37,650,096,314.50</w:t>
            </w:r>
          </w:p>
        </w:tc>
        <w:tc>
          <w:tcPr>
            <w:tcW w:w="608" w:type="pct"/>
            <w:shd w:val="clear" w:color="auto" w:fill="auto"/>
            <w:vAlign w:val="center"/>
            <w:hideMark/>
          </w:tcPr>
          <w:p w14:paraId="2946D2C4"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34,791,663,426.34</w:t>
            </w:r>
          </w:p>
        </w:tc>
      </w:tr>
      <w:tr w:rsidR="00DD55F4" w:rsidRPr="005175AC" w14:paraId="0A2CD0F0" w14:textId="77777777" w:rsidTr="00296B6A">
        <w:trPr>
          <w:gridAfter w:val="1"/>
          <w:wAfter w:w="218" w:type="pct"/>
          <w:trHeight w:val="225"/>
        </w:trPr>
        <w:tc>
          <w:tcPr>
            <w:tcW w:w="519" w:type="pct"/>
            <w:shd w:val="clear" w:color="auto" w:fill="auto"/>
            <w:vAlign w:val="center"/>
            <w:hideMark/>
          </w:tcPr>
          <w:p w14:paraId="1DC7EB70"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A. Aportaciones</w:t>
            </w:r>
          </w:p>
        </w:tc>
        <w:tc>
          <w:tcPr>
            <w:tcW w:w="589" w:type="pct"/>
            <w:shd w:val="clear" w:color="auto" w:fill="auto"/>
            <w:vAlign w:val="center"/>
            <w:hideMark/>
          </w:tcPr>
          <w:p w14:paraId="199FE6C8"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23,230,565,947.40</w:t>
            </w:r>
          </w:p>
        </w:tc>
        <w:tc>
          <w:tcPr>
            <w:tcW w:w="639" w:type="pct"/>
            <w:shd w:val="clear" w:color="auto" w:fill="auto"/>
            <w:vAlign w:val="center"/>
            <w:hideMark/>
          </w:tcPr>
          <w:p w14:paraId="266537E3"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24,707,281,439.35</w:t>
            </w:r>
          </w:p>
        </w:tc>
        <w:tc>
          <w:tcPr>
            <w:tcW w:w="606" w:type="pct"/>
            <w:shd w:val="clear" w:color="auto" w:fill="auto"/>
            <w:vAlign w:val="center"/>
            <w:hideMark/>
          </w:tcPr>
          <w:p w14:paraId="141DBFE8"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25,347,972,003.98</w:t>
            </w:r>
          </w:p>
        </w:tc>
        <w:tc>
          <w:tcPr>
            <w:tcW w:w="607" w:type="pct"/>
            <w:shd w:val="clear" w:color="auto" w:fill="auto"/>
            <w:vAlign w:val="center"/>
            <w:hideMark/>
          </w:tcPr>
          <w:p w14:paraId="5457E2D9"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25,954,310,792.02</w:t>
            </w:r>
          </w:p>
        </w:tc>
        <w:tc>
          <w:tcPr>
            <w:tcW w:w="606" w:type="pct"/>
            <w:shd w:val="clear" w:color="auto" w:fill="auto"/>
            <w:vAlign w:val="center"/>
            <w:hideMark/>
          </w:tcPr>
          <w:p w14:paraId="4AA6882E"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28,459,493,316.29</w:t>
            </w:r>
          </w:p>
        </w:tc>
        <w:tc>
          <w:tcPr>
            <w:tcW w:w="608" w:type="pct"/>
            <w:shd w:val="clear" w:color="auto" w:fill="auto"/>
            <w:vAlign w:val="center"/>
            <w:hideMark/>
          </w:tcPr>
          <w:p w14:paraId="71C33562"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32,227,800,175.05</w:t>
            </w:r>
          </w:p>
        </w:tc>
        <w:tc>
          <w:tcPr>
            <w:tcW w:w="608" w:type="pct"/>
            <w:shd w:val="clear" w:color="auto" w:fill="auto"/>
            <w:vAlign w:val="center"/>
            <w:hideMark/>
          </w:tcPr>
          <w:p w14:paraId="68E3E749"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29,372,125,229.62</w:t>
            </w:r>
          </w:p>
        </w:tc>
      </w:tr>
      <w:tr w:rsidR="00DD55F4" w:rsidRPr="005175AC" w14:paraId="56F39C2E" w14:textId="77777777" w:rsidTr="00296B6A">
        <w:trPr>
          <w:gridAfter w:val="1"/>
          <w:wAfter w:w="218" w:type="pct"/>
          <w:trHeight w:val="225"/>
        </w:trPr>
        <w:tc>
          <w:tcPr>
            <w:tcW w:w="519" w:type="pct"/>
            <w:shd w:val="clear" w:color="auto" w:fill="auto"/>
            <w:vAlign w:val="center"/>
            <w:hideMark/>
          </w:tcPr>
          <w:p w14:paraId="74582C80"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lastRenderedPageBreak/>
              <w:t>B. Convenios</w:t>
            </w:r>
          </w:p>
        </w:tc>
        <w:tc>
          <w:tcPr>
            <w:tcW w:w="589" w:type="pct"/>
            <w:shd w:val="clear" w:color="auto" w:fill="auto"/>
            <w:vAlign w:val="center"/>
            <w:hideMark/>
          </w:tcPr>
          <w:p w14:paraId="75B015DF"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4,417,715,394.89</w:t>
            </w:r>
          </w:p>
        </w:tc>
        <w:tc>
          <w:tcPr>
            <w:tcW w:w="639" w:type="pct"/>
            <w:shd w:val="clear" w:color="auto" w:fill="auto"/>
            <w:vAlign w:val="center"/>
            <w:hideMark/>
          </w:tcPr>
          <w:p w14:paraId="7F43F116"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3,399,868,763.22</w:t>
            </w:r>
          </w:p>
        </w:tc>
        <w:tc>
          <w:tcPr>
            <w:tcW w:w="606" w:type="pct"/>
            <w:shd w:val="clear" w:color="auto" w:fill="auto"/>
            <w:vAlign w:val="center"/>
            <w:hideMark/>
          </w:tcPr>
          <w:p w14:paraId="6C84DA8A"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2,042,990,726.36</w:t>
            </w:r>
          </w:p>
        </w:tc>
        <w:tc>
          <w:tcPr>
            <w:tcW w:w="607" w:type="pct"/>
            <w:shd w:val="clear" w:color="auto" w:fill="auto"/>
            <w:vAlign w:val="center"/>
            <w:hideMark/>
          </w:tcPr>
          <w:p w14:paraId="3FC0E295"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1,552,955,895.81</w:t>
            </w:r>
          </w:p>
        </w:tc>
        <w:tc>
          <w:tcPr>
            <w:tcW w:w="606" w:type="pct"/>
            <w:shd w:val="clear" w:color="auto" w:fill="auto"/>
            <w:vAlign w:val="center"/>
            <w:hideMark/>
          </w:tcPr>
          <w:p w14:paraId="65C1511B"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1,926,469,482.98</w:t>
            </w:r>
          </w:p>
        </w:tc>
        <w:tc>
          <w:tcPr>
            <w:tcW w:w="608" w:type="pct"/>
            <w:shd w:val="clear" w:color="auto" w:fill="auto"/>
            <w:vAlign w:val="center"/>
            <w:hideMark/>
          </w:tcPr>
          <w:p w14:paraId="445176FD"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2,078,341,134.49</w:t>
            </w:r>
          </w:p>
        </w:tc>
        <w:tc>
          <w:tcPr>
            <w:tcW w:w="608" w:type="pct"/>
            <w:shd w:val="clear" w:color="auto" w:fill="auto"/>
            <w:vAlign w:val="center"/>
            <w:hideMark/>
          </w:tcPr>
          <w:p w14:paraId="044E9D42"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1,777,840,938.13</w:t>
            </w:r>
          </w:p>
        </w:tc>
      </w:tr>
      <w:tr w:rsidR="00DD55F4" w:rsidRPr="005175AC" w14:paraId="5E6411AE" w14:textId="77777777" w:rsidTr="00296B6A">
        <w:trPr>
          <w:gridAfter w:val="1"/>
          <w:wAfter w:w="218" w:type="pct"/>
          <w:trHeight w:val="225"/>
        </w:trPr>
        <w:tc>
          <w:tcPr>
            <w:tcW w:w="519" w:type="pct"/>
            <w:shd w:val="clear" w:color="auto" w:fill="auto"/>
            <w:vAlign w:val="center"/>
            <w:hideMark/>
          </w:tcPr>
          <w:p w14:paraId="5ABB7B2F"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C. Fondos Distintos de Aportaciones</w:t>
            </w:r>
          </w:p>
        </w:tc>
        <w:tc>
          <w:tcPr>
            <w:tcW w:w="589" w:type="pct"/>
            <w:shd w:val="clear" w:color="auto" w:fill="auto"/>
            <w:vAlign w:val="center"/>
            <w:hideMark/>
          </w:tcPr>
          <w:p w14:paraId="6571982F"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750,520.00</w:t>
            </w:r>
          </w:p>
        </w:tc>
        <w:tc>
          <w:tcPr>
            <w:tcW w:w="639" w:type="pct"/>
            <w:shd w:val="clear" w:color="auto" w:fill="auto"/>
            <w:vAlign w:val="center"/>
            <w:hideMark/>
          </w:tcPr>
          <w:p w14:paraId="51E8224F"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769,433.00</w:t>
            </w:r>
          </w:p>
        </w:tc>
        <w:tc>
          <w:tcPr>
            <w:tcW w:w="606" w:type="pct"/>
            <w:shd w:val="clear" w:color="auto" w:fill="auto"/>
            <w:vAlign w:val="center"/>
            <w:hideMark/>
          </w:tcPr>
          <w:p w14:paraId="5179055E"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767,045.00</w:t>
            </w:r>
          </w:p>
        </w:tc>
        <w:tc>
          <w:tcPr>
            <w:tcW w:w="607" w:type="pct"/>
            <w:shd w:val="clear" w:color="auto" w:fill="auto"/>
            <w:vAlign w:val="center"/>
            <w:hideMark/>
          </w:tcPr>
          <w:p w14:paraId="2ACFCABB"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7,384,651.00</w:t>
            </w:r>
          </w:p>
        </w:tc>
        <w:tc>
          <w:tcPr>
            <w:tcW w:w="606" w:type="pct"/>
            <w:shd w:val="clear" w:color="auto" w:fill="auto"/>
            <w:vAlign w:val="center"/>
            <w:hideMark/>
          </w:tcPr>
          <w:p w14:paraId="00A12AC6"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12,650,058.00</w:t>
            </w:r>
          </w:p>
        </w:tc>
        <w:tc>
          <w:tcPr>
            <w:tcW w:w="608" w:type="pct"/>
            <w:shd w:val="clear" w:color="auto" w:fill="auto"/>
            <w:vAlign w:val="center"/>
            <w:hideMark/>
          </w:tcPr>
          <w:p w14:paraId="41F2A24E"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17,752,273.65</w:t>
            </w:r>
          </w:p>
        </w:tc>
        <w:tc>
          <w:tcPr>
            <w:tcW w:w="608" w:type="pct"/>
            <w:shd w:val="clear" w:color="auto" w:fill="auto"/>
            <w:vAlign w:val="center"/>
            <w:hideMark/>
          </w:tcPr>
          <w:p w14:paraId="144962E8"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13,228,056.43</w:t>
            </w:r>
          </w:p>
        </w:tc>
      </w:tr>
      <w:tr w:rsidR="00DD55F4" w:rsidRPr="005175AC" w14:paraId="1AE6A6D6" w14:textId="77777777" w:rsidTr="00296B6A">
        <w:trPr>
          <w:gridAfter w:val="1"/>
          <w:wAfter w:w="218" w:type="pct"/>
          <w:trHeight w:val="450"/>
        </w:trPr>
        <w:tc>
          <w:tcPr>
            <w:tcW w:w="519" w:type="pct"/>
            <w:shd w:val="clear" w:color="auto" w:fill="auto"/>
            <w:vAlign w:val="center"/>
            <w:hideMark/>
          </w:tcPr>
          <w:p w14:paraId="40073147" w14:textId="77777777" w:rsidR="00DD55F4" w:rsidRPr="005175AC" w:rsidRDefault="00DD55F4" w:rsidP="00296B6A">
            <w:pPr>
              <w:ind w:right="-67"/>
              <w:rPr>
                <w:rFonts w:ascii="Arial" w:hAnsi="Arial" w:cs="Arial"/>
                <w:color w:val="000000"/>
                <w:sz w:val="12"/>
                <w:szCs w:val="12"/>
                <w:lang w:eastAsia="es-MX"/>
              </w:rPr>
            </w:pPr>
            <w:r w:rsidRPr="005175AC">
              <w:rPr>
                <w:rFonts w:ascii="Arial" w:hAnsi="Arial" w:cs="Arial"/>
                <w:color w:val="000000"/>
                <w:sz w:val="12"/>
                <w:szCs w:val="12"/>
                <w:lang w:eastAsia="es-MX"/>
              </w:rPr>
              <w:t>D. Transferencias, Subsidios y Subvenciones, y Pensiones y Jubilaciones</w:t>
            </w:r>
          </w:p>
        </w:tc>
        <w:tc>
          <w:tcPr>
            <w:tcW w:w="589" w:type="pct"/>
            <w:shd w:val="clear" w:color="auto" w:fill="auto"/>
            <w:vAlign w:val="center"/>
            <w:hideMark/>
          </w:tcPr>
          <w:p w14:paraId="6EFA4E4D"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3,355,903,140.87</w:t>
            </w:r>
          </w:p>
        </w:tc>
        <w:tc>
          <w:tcPr>
            <w:tcW w:w="639" w:type="pct"/>
            <w:shd w:val="clear" w:color="auto" w:fill="auto"/>
            <w:vAlign w:val="center"/>
            <w:hideMark/>
          </w:tcPr>
          <w:p w14:paraId="139AD431"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2,741,340,287.84</w:t>
            </w:r>
          </w:p>
        </w:tc>
        <w:tc>
          <w:tcPr>
            <w:tcW w:w="606" w:type="pct"/>
            <w:shd w:val="clear" w:color="auto" w:fill="auto"/>
            <w:vAlign w:val="center"/>
            <w:hideMark/>
          </w:tcPr>
          <w:p w14:paraId="35CB04CA"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3,251,885,609.47</w:t>
            </w:r>
          </w:p>
        </w:tc>
        <w:tc>
          <w:tcPr>
            <w:tcW w:w="607" w:type="pct"/>
            <w:shd w:val="clear" w:color="auto" w:fill="auto"/>
            <w:vAlign w:val="center"/>
            <w:hideMark/>
          </w:tcPr>
          <w:p w14:paraId="48837A92"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2,987,283,252.05</w:t>
            </w:r>
          </w:p>
        </w:tc>
        <w:tc>
          <w:tcPr>
            <w:tcW w:w="606" w:type="pct"/>
            <w:shd w:val="clear" w:color="auto" w:fill="auto"/>
            <w:vAlign w:val="center"/>
            <w:hideMark/>
          </w:tcPr>
          <w:p w14:paraId="77020DED"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3,103,006,336.43</w:t>
            </w:r>
          </w:p>
        </w:tc>
        <w:tc>
          <w:tcPr>
            <w:tcW w:w="608" w:type="pct"/>
            <w:shd w:val="clear" w:color="auto" w:fill="auto"/>
            <w:vAlign w:val="center"/>
            <w:hideMark/>
          </w:tcPr>
          <w:p w14:paraId="24DD239A"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3,326,202,731.31</w:t>
            </w:r>
          </w:p>
        </w:tc>
        <w:tc>
          <w:tcPr>
            <w:tcW w:w="608" w:type="pct"/>
            <w:shd w:val="clear" w:color="auto" w:fill="auto"/>
            <w:vAlign w:val="center"/>
            <w:hideMark/>
          </w:tcPr>
          <w:p w14:paraId="52AB9101" w14:textId="77777777" w:rsidR="00DD55F4" w:rsidRPr="005175AC" w:rsidRDefault="00DD55F4" w:rsidP="00296B6A">
            <w:pPr>
              <w:tabs>
                <w:tab w:val="left" w:pos="634"/>
              </w:tabs>
              <w:ind w:right="-67"/>
              <w:jc w:val="right"/>
              <w:rPr>
                <w:rFonts w:ascii="Arial" w:hAnsi="Arial" w:cs="Arial"/>
                <w:color w:val="000000"/>
                <w:sz w:val="12"/>
                <w:szCs w:val="12"/>
                <w:lang w:eastAsia="es-MX"/>
              </w:rPr>
            </w:pPr>
            <w:r w:rsidRPr="005175AC">
              <w:rPr>
                <w:rFonts w:ascii="Arial" w:hAnsi="Arial" w:cs="Arial"/>
                <w:color w:val="000000"/>
                <w:sz w:val="12"/>
                <w:szCs w:val="12"/>
                <w:lang w:eastAsia="es-MX"/>
              </w:rPr>
              <w:t>3,628,469,202.16</w:t>
            </w:r>
          </w:p>
        </w:tc>
      </w:tr>
      <w:tr w:rsidR="00DD55F4" w:rsidRPr="005175AC" w14:paraId="4BD8E2A8" w14:textId="77777777" w:rsidTr="00296B6A">
        <w:trPr>
          <w:gridAfter w:val="1"/>
          <w:wAfter w:w="218" w:type="pct"/>
          <w:trHeight w:val="450"/>
        </w:trPr>
        <w:tc>
          <w:tcPr>
            <w:tcW w:w="519" w:type="pct"/>
            <w:shd w:val="clear" w:color="auto" w:fill="auto"/>
            <w:vAlign w:val="center"/>
            <w:hideMark/>
          </w:tcPr>
          <w:p w14:paraId="1D9B208F" w14:textId="77777777" w:rsidR="00DD55F4" w:rsidRPr="005175AC" w:rsidRDefault="00DD55F4" w:rsidP="00296B6A">
            <w:pPr>
              <w:ind w:right="-91"/>
              <w:rPr>
                <w:rFonts w:ascii="Arial" w:hAnsi="Arial" w:cs="Arial"/>
                <w:color w:val="000000"/>
                <w:sz w:val="12"/>
                <w:szCs w:val="12"/>
                <w:lang w:eastAsia="es-MX"/>
              </w:rPr>
            </w:pPr>
            <w:r w:rsidRPr="005175AC">
              <w:rPr>
                <w:rFonts w:ascii="Arial" w:hAnsi="Arial" w:cs="Arial"/>
                <w:color w:val="000000"/>
                <w:sz w:val="12"/>
                <w:szCs w:val="12"/>
                <w:lang w:eastAsia="es-MX"/>
              </w:rPr>
              <w:t>E. Otras Transferencias Federales Etiquetadas</w:t>
            </w:r>
          </w:p>
        </w:tc>
        <w:tc>
          <w:tcPr>
            <w:tcW w:w="589" w:type="pct"/>
            <w:shd w:val="clear" w:color="auto" w:fill="auto"/>
            <w:noWrap/>
            <w:vAlign w:val="center"/>
            <w:hideMark/>
          </w:tcPr>
          <w:p w14:paraId="633CC5FE"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39" w:type="pct"/>
            <w:shd w:val="clear" w:color="auto" w:fill="auto"/>
            <w:noWrap/>
            <w:vAlign w:val="center"/>
            <w:hideMark/>
          </w:tcPr>
          <w:p w14:paraId="2D849C62"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6" w:type="pct"/>
            <w:shd w:val="clear" w:color="auto" w:fill="auto"/>
            <w:noWrap/>
            <w:vAlign w:val="center"/>
            <w:hideMark/>
          </w:tcPr>
          <w:p w14:paraId="53701FC9"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7" w:type="pct"/>
            <w:shd w:val="clear" w:color="auto" w:fill="auto"/>
            <w:noWrap/>
            <w:vAlign w:val="center"/>
            <w:hideMark/>
          </w:tcPr>
          <w:p w14:paraId="0F80471A"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6" w:type="pct"/>
            <w:shd w:val="clear" w:color="auto" w:fill="auto"/>
            <w:noWrap/>
            <w:vAlign w:val="center"/>
            <w:hideMark/>
          </w:tcPr>
          <w:p w14:paraId="47346532"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shd w:val="clear" w:color="auto" w:fill="auto"/>
            <w:vAlign w:val="center"/>
            <w:hideMark/>
          </w:tcPr>
          <w:p w14:paraId="401B0435"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shd w:val="clear" w:color="auto" w:fill="auto"/>
            <w:vAlign w:val="center"/>
            <w:hideMark/>
          </w:tcPr>
          <w:p w14:paraId="677D454F"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DD55F4" w:rsidRPr="005175AC" w14:paraId="05CBCF45" w14:textId="77777777" w:rsidTr="00296B6A">
        <w:trPr>
          <w:gridAfter w:val="1"/>
          <w:wAfter w:w="218" w:type="pct"/>
          <w:trHeight w:val="450"/>
        </w:trPr>
        <w:tc>
          <w:tcPr>
            <w:tcW w:w="519" w:type="pct"/>
            <w:shd w:val="clear" w:color="auto" w:fill="auto"/>
            <w:vAlign w:val="center"/>
            <w:hideMark/>
          </w:tcPr>
          <w:p w14:paraId="5A7C23A4" w14:textId="77777777" w:rsidR="00DD55F4" w:rsidRPr="005175AC" w:rsidRDefault="00DD55F4" w:rsidP="00296B6A">
            <w:pPr>
              <w:ind w:right="-91"/>
              <w:rPr>
                <w:rFonts w:ascii="Arial" w:hAnsi="Arial" w:cs="Arial"/>
                <w:b/>
                <w:bCs/>
                <w:color w:val="000000"/>
                <w:sz w:val="12"/>
                <w:szCs w:val="12"/>
                <w:lang w:eastAsia="es-MX"/>
              </w:rPr>
            </w:pPr>
            <w:r w:rsidRPr="005175AC">
              <w:rPr>
                <w:rFonts w:ascii="Arial" w:hAnsi="Arial" w:cs="Arial"/>
                <w:b/>
                <w:bCs/>
                <w:color w:val="000000"/>
                <w:sz w:val="12"/>
                <w:szCs w:val="12"/>
                <w:lang w:eastAsia="es-MX"/>
              </w:rPr>
              <w:t>3.- Ingresos Derivados de Financiamientos (3=A)</w:t>
            </w:r>
          </w:p>
        </w:tc>
        <w:tc>
          <w:tcPr>
            <w:tcW w:w="589" w:type="pct"/>
            <w:shd w:val="clear" w:color="auto" w:fill="auto"/>
            <w:vAlign w:val="center"/>
            <w:hideMark/>
          </w:tcPr>
          <w:p w14:paraId="677037E5"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0.00</w:t>
            </w:r>
          </w:p>
        </w:tc>
        <w:tc>
          <w:tcPr>
            <w:tcW w:w="639" w:type="pct"/>
            <w:shd w:val="clear" w:color="auto" w:fill="auto"/>
            <w:vAlign w:val="center"/>
            <w:hideMark/>
          </w:tcPr>
          <w:p w14:paraId="571D4CEB"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1,671,622,307.02</w:t>
            </w:r>
          </w:p>
        </w:tc>
        <w:tc>
          <w:tcPr>
            <w:tcW w:w="606" w:type="pct"/>
            <w:shd w:val="clear" w:color="auto" w:fill="auto"/>
            <w:vAlign w:val="center"/>
            <w:hideMark/>
          </w:tcPr>
          <w:p w14:paraId="1A1CAF76"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0.00</w:t>
            </w:r>
          </w:p>
        </w:tc>
        <w:tc>
          <w:tcPr>
            <w:tcW w:w="607" w:type="pct"/>
            <w:shd w:val="clear" w:color="auto" w:fill="auto"/>
            <w:vAlign w:val="center"/>
            <w:hideMark/>
          </w:tcPr>
          <w:p w14:paraId="5983FE68"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0.00</w:t>
            </w:r>
          </w:p>
        </w:tc>
        <w:tc>
          <w:tcPr>
            <w:tcW w:w="606" w:type="pct"/>
            <w:shd w:val="clear" w:color="auto" w:fill="auto"/>
            <w:vAlign w:val="center"/>
            <w:hideMark/>
          </w:tcPr>
          <w:p w14:paraId="37C3D2FE"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0.00</w:t>
            </w:r>
          </w:p>
        </w:tc>
        <w:tc>
          <w:tcPr>
            <w:tcW w:w="608" w:type="pct"/>
            <w:shd w:val="clear" w:color="auto" w:fill="auto"/>
            <w:vAlign w:val="center"/>
            <w:hideMark/>
          </w:tcPr>
          <w:p w14:paraId="6E8233BC"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0.00</w:t>
            </w:r>
          </w:p>
        </w:tc>
        <w:tc>
          <w:tcPr>
            <w:tcW w:w="608" w:type="pct"/>
            <w:shd w:val="clear" w:color="auto" w:fill="auto"/>
            <w:vAlign w:val="center"/>
            <w:hideMark/>
          </w:tcPr>
          <w:p w14:paraId="1407AEDB"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0.00</w:t>
            </w:r>
          </w:p>
        </w:tc>
      </w:tr>
      <w:tr w:rsidR="00DD55F4" w:rsidRPr="005175AC" w14:paraId="17B24876" w14:textId="77777777" w:rsidTr="00296B6A">
        <w:trPr>
          <w:gridAfter w:val="1"/>
          <w:wAfter w:w="218" w:type="pct"/>
          <w:trHeight w:val="225"/>
        </w:trPr>
        <w:tc>
          <w:tcPr>
            <w:tcW w:w="519" w:type="pct"/>
            <w:shd w:val="clear" w:color="auto" w:fill="auto"/>
            <w:vAlign w:val="center"/>
            <w:hideMark/>
          </w:tcPr>
          <w:p w14:paraId="76DB3705" w14:textId="77777777" w:rsidR="00DD55F4" w:rsidRPr="005175AC" w:rsidRDefault="00DD55F4" w:rsidP="00296B6A">
            <w:pPr>
              <w:ind w:right="-91"/>
              <w:rPr>
                <w:rFonts w:ascii="Arial" w:hAnsi="Arial" w:cs="Arial"/>
                <w:color w:val="000000"/>
                <w:sz w:val="12"/>
                <w:szCs w:val="12"/>
                <w:lang w:eastAsia="es-MX"/>
              </w:rPr>
            </w:pPr>
            <w:r w:rsidRPr="005175AC">
              <w:rPr>
                <w:rFonts w:ascii="Arial" w:hAnsi="Arial" w:cs="Arial"/>
                <w:color w:val="000000"/>
                <w:sz w:val="12"/>
                <w:szCs w:val="12"/>
                <w:lang w:eastAsia="es-MX"/>
              </w:rPr>
              <w:t>A. Ingresos Derivados de Financiamientos</w:t>
            </w:r>
          </w:p>
        </w:tc>
        <w:tc>
          <w:tcPr>
            <w:tcW w:w="589" w:type="pct"/>
            <w:shd w:val="clear" w:color="auto" w:fill="auto"/>
            <w:noWrap/>
            <w:vAlign w:val="center"/>
            <w:hideMark/>
          </w:tcPr>
          <w:p w14:paraId="52DABA6B"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39" w:type="pct"/>
            <w:shd w:val="clear" w:color="auto" w:fill="auto"/>
            <w:vAlign w:val="center"/>
            <w:hideMark/>
          </w:tcPr>
          <w:p w14:paraId="2C2E8199"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1,671,622,307.02</w:t>
            </w:r>
          </w:p>
        </w:tc>
        <w:tc>
          <w:tcPr>
            <w:tcW w:w="606" w:type="pct"/>
            <w:shd w:val="clear" w:color="auto" w:fill="auto"/>
            <w:noWrap/>
            <w:vAlign w:val="center"/>
            <w:hideMark/>
          </w:tcPr>
          <w:p w14:paraId="0F2EA58C"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7" w:type="pct"/>
            <w:shd w:val="clear" w:color="auto" w:fill="auto"/>
            <w:noWrap/>
            <w:vAlign w:val="center"/>
            <w:hideMark/>
          </w:tcPr>
          <w:p w14:paraId="0B91B2F8"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6" w:type="pct"/>
            <w:shd w:val="clear" w:color="auto" w:fill="auto"/>
            <w:noWrap/>
            <w:vAlign w:val="center"/>
            <w:hideMark/>
          </w:tcPr>
          <w:p w14:paraId="6F8B9607"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shd w:val="clear" w:color="auto" w:fill="auto"/>
            <w:vAlign w:val="center"/>
            <w:hideMark/>
          </w:tcPr>
          <w:p w14:paraId="590784C0"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shd w:val="clear" w:color="auto" w:fill="auto"/>
            <w:vAlign w:val="center"/>
            <w:hideMark/>
          </w:tcPr>
          <w:p w14:paraId="107C9D7C"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DD55F4" w:rsidRPr="005175AC" w14:paraId="28F60D95" w14:textId="77777777" w:rsidTr="00296B6A">
        <w:trPr>
          <w:gridAfter w:val="1"/>
          <w:wAfter w:w="218" w:type="pct"/>
          <w:trHeight w:val="450"/>
        </w:trPr>
        <w:tc>
          <w:tcPr>
            <w:tcW w:w="519" w:type="pct"/>
            <w:shd w:val="clear" w:color="auto" w:fill="auto"/>
            <w:vAlign w:val="center"/>
            <w:hideMark/>
          </w:tcPr>
          <w:p w14:paraId="2D928300" w14:textId="77777777" w:rsidR="00DD55F4" w:rsidRPr="005175AC" w:rsidRDefault="00DD55F4" w:rsidP="00296B6A">
            <w:pPr>
              <w:ind w:right="-91"/>
              <w:rPr>
                <w:rFonts w:ascii="Arial" w:hAnsi="Arial" w:cs="Arial"/>
                <w:b/>
                <w:bCs/>
                <w:color w:val="000000"/>
                <w:sz w:val="12"/>
                <w:szCs w:val="12"/>
                <w:lang w:eastAsia="es-MX"/>
              </w:rPr>
            </w:pPr>
            <w:r w:rsidRPr="005175AC">
              <w:rPr>
                <w:rFonts w:ascii="Arial" w:hAnsi="Arial" w:cs="Arial"/>
                <w:b/>
                <w:bCs/>
                <w:color w:val="000000"/>
                <w:sz w:val="12"/>
                <w:szCs w:val="12"/>
                <w:lang w:eastAsia="es-MX"/>
              </w:rPr>
              <w:t>4.- Total de Resultados de Ingresos (4=1+2+3)</w:t>
            </w:r>
          </w:p>
        </w:tc>
        <w:tc>
          <w:tcPr>
            <w:tcW w:w="589" w:type="pct"/>
            <w:shd w:val="clear" w:color="auto" w:fill="auto"/>
            <w:vAlign w:val="center"/>
            <w:hideMark/>
          </w:tcPr>
          <w:p w14:paraId="68B87050"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52,521,936,422.97</w:t>
            </w:r>
          </w:p>
        </w:tc>
        <w:tc>
          <w:tcPr>
            <w:tcW w:w="639" w:type="pct"/>
            <w:shd w:val="clear" w:color="auto" w:fill="auto"/>
            <w:vAlign w:val="center"/>
            <w:hideMark/>
          </w:tcPr>
          <w:p w14:paraId="06B99AB0"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56,277,313,039.08</w:t>
            </w:r>
          </w:p>
        </w:tc>
        <w:tc>
          <w:tcPr>
            <w:tcW w:w="606" w:type="pct"/>
            <w:shd w:val="clear" w:color="auto" w:fill="auto"/>
            <w:vAlign w:val="center"/>
            <w:hideMark/>
          </w:tcPr>
          <w:p w14:paraId="196FFB73"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53,129,821,778.43</w:t>
            </w:r>
          </w:p>
        </w:tc>
        <w:tc>
          <w:tcPr>
            <w:tcW w:w="607" w:type="pct"/>
            <w:shd w:val="clear" w:color="auto" w:fill="auto"/>
            <w:vAlign w:val="center"/>
            <w:hideMark/>
          </w:tcPr>
          <w:p w14:paraId="780E3660"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52,892,166,327.48</w:t>
            </w:r>
          </w:p>
        </w:tc>
        <w:tc>
          <w:tcPr>
            <w:tcW w:w="606" w:type="pct"/>
            <w:shd w:val="clear" w:color="auto" w:fill="auto"/>
            <w:vAlign w:val="center"/>
            <w:hideMark/>
          </w:tcPr>
          <w:p w14:paraId="54490BA4"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61,827,544,912.29</w:t>
            </w:r>
          </w:p>
        </w:tc>
        <w:tc>
          <w:tcPr>
            <w:tcW w:w="608" w:type="pct"/>
            <w:shd w:val="clear" w:color="auto" w:fill="auto"/>
            <w:vAlign w:val="center"/>
            <w:hideMark/>
          </w:tcPr>
          <w:p w14:paraId="11507BB5"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69,716,845,884.99</w:t>
            </w:r>
          </w:p>
        </w:tc>
        <w:tc>
          <w:tcPr>
            <w:tcW w:w="608" w:type="pct"/>
            <w:shd w:val="clear" w:color="auto" w:fill="auto"/>
            <w:vAlign w:val="center"/>
            <w:hideMark/>
          </w:tcPr>
          <w:p w14:paraId="57A67C29"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69,556,022,717.16</w:t>
            </w:r>
          </w:p>
        </w:tc>
      </w:tr>
      <w:tr w:rsidR="00DD55F4" w:rsidRPr="005175AC" w14:paraId="41997795" w14:textId="77777777" w:rsidTr="00296B6A">
        <w:trPr>
          <w:gridAfter w:val="1"/>
          <w:wAfter w:w="218" w:type="pct"/>
          <w:trHeight w:val="225"/>
        </w:trPr>
        <w:tc>
          <w:tcPr>
            <w:tcW w:w="519" w:type="pct"/>
            <w:shd w:val="clear" w:color="auto" w:fill="auto"/>
            <w:vAlign w:val="center"/>
            <w:hideMark/>
          </w:tcPr>
          <w:p w14:paraId="0273DB0F" w14:textId="77777777" w:rsidR="00DD55F4" w:rsidRPr="005175AC" w:rsidRDefault="00DD55F4" w:rsidP="00296B6A">
            <w:pPr>
              <w:tabs>
                <w:tab w:val="left" w:pos="487"/>
              </w:tabs>
              <w:ind w:right="277"/>
              <w:rPr>
                <w:rFonts w:ascii="Arial" w:hAnsi="Arial" w:cs="Arial"/>
                <w:b/>
                <w:bCs/>
                <w:color w:val="000000"/>
                <w:sz w:val="12"/>
                <w:szCs w:val="12"/>
                <w:lang w:eastAsia="es-MX"/>
              </w:rPr>
            </w:pPr>
            <w:r w:rsidRPr="005175AC">
              <w:rPr>
                <w:rFonts w:ascii="Arial" w:hAnsi="Arial" w:cs="Arial"/>
                <w:b/>
                <w:bCs/>
                <w:color w:val="000000"/>
                <w:sz w:val="12"/>
                <w:szCs w:val="12"/>
                <w:lang w:eastAsia="es-MX"/>
              </w:rPr>
              <w:t>Datos Informativos</w:t>
            </w:r>
          </w:p>
        </w:tc>
        <w:tc>
          <w:tcPr>
            <w:tcW w:w="589" w:type="pct"/>
            <w:shd w:val="clear" w:color="auto" w:fill="auto"/>
            <w:vAlign w:val="center"/>
            <w:hideMark/>
          </w:tcPr>
          <w:p w14:paraId="31A77E54" w14:textId="77777777" w:rsidR="00DD55F4" w:rsidRPr="005175AC" w:rsidRDefault="00DD55F4" w:rsidP="00296B6A">
            <w:pPr>
              <w:tabs>
                <w:tab w:val="left" w:pos="634"/>
              </w:tabs>
              <w:ind w:right="277"/>
              <w:rPr>
                <w:rFonts w:ascii="Arial" w:hAnsi="Arial" w:cs="Arial"/>
                <w:color w:val="000000"/>
                <w:sz w:val="12"/>
                <w:szCs w:val="12"/>
                <w:lang w:eastAsia="es-MX"/>
              </w:rPr>
            </w:pPr>
            <w:r w:rsidRPr="005175AC">
              <w:rPr>
                <w:rFonts w:ascii="Arial" w:hAnsi="Arial" w:cs="Arial"/>
                <w:color w:val="000000"/>
                <w:sz w:val="12"/>
                <w:szCs w:val="12"/>
                <w:lang w:eastAsia="es-MX"/>
              </w:rPr>
              <w:t> </w:t>
            </w:r>
          </w:p>
        </w:tc>
        <w:tc>
          <w:tcPr>
            <w:tcW w:w="639" w:type="pct"/>
            <w:shd w:val="clear" w:color="auto" w:fill="auto"/>
            <w:vAlign w:val="center"/>
            <w:hideMark/>
          </w:tcPr>
          <w:p w14:paraId="01A638FC" w14:textId="77777777" w:rsidR="00DD55F4" w:rsidRPr="005175AC" w:rsidRDefault="00DD55F4" w:rsidP="00296B6A">
            <w:pPr>
              <w:tabs>
                <w:tab w:val="left" w:pos="634"/>
              </w:tabs>
              <w:ind w:right="277"/>
              <w:rPr>
                <w:rFonts w:ascii="Arial" w:hAnsi="Arial" w:cs="Arial"/>
                <w:color w:val="000000"/>
                <w:sz w:val="12"/>
                <w:szCs w:val="12"/>
                <w:lang w:eastAsia="es-MX"/>
              </w:rPr>
            </w:pPr>
            <w:r w:rsidRPr="005175AC">
              <w:rPr>
                <w:rFonts w:ascii="Arial" w:hAnsi="Arial" w:cs="Arial"/>
                <w:color w:val="000000"/>
                <w:sz w:val="12"/>
                <w:szCs w:val="12"/>
                <w:lang w:eastAsia="es-MX"/>
              </w:rPr>
              <w:t> </w:t>
            </w:r>
          </w:p>
        </w:tc>
        <w:tc>
          <w:tcPr>
            <w:tcW w:w="606" w:type="pct"/>
            <w:shd w:val="clear" w:color="auto" w:fill="auto"/>
            <w:vAlign w:val="center"/>
            <w:hideMark/>
          </w:tcPr>
          <w:p w14:paraId="60E4C535" w14:textId="77777777" w:rsidR="00DD55F4" w:rsidRPr="005175AC" w:rsidRDefault="00DD55F4" w:rsidP="00296B6A">
            <w:pPr>
              <w:tabs>
                <w:tab w:val="left" w:pos="634"/>
              </w:tabs>
              <w:ind w:right="277"/>
              <w:rPr>
                <w:rFonts w:ascii="Arial" w:hAnsi="Arial" w:cs="Arial"/>
                <w:color w:val="000000"/>
                <w:sz w:val="12"/>
                <w:szCs w:val="12"/>
                <w:lang w:eastAsia="es-MX"/>
              </w:rPr>
            </w:pPr>
            <w:r w:rsidRPr="005175AC">
              <w:rPr>
                <w:rFonts w:ascii="Arial" w:hAnsi="Arial" w:cs="Arial"/>
                <w:color w:val="000000"/>
                <w:sz w:val="12"/>
                <w:szCs w:val="12"/>
                <w:lang w:eastAsia="es-MX"/>
              </w:rPr>
              <w:t> </w:t>
            </w:r>
          </w:p>
        </w:tc>
        <w:tc>
          <w:tcPr>
            <w:tcW w:w="607" w:type="pct"/>
            <w:shd w:val="clear" w:color="auto" w:fill="auto"/>
            <w:vAlign w:val="center"/>
            <w:hideMark/>
          </w:tcPr>
          <w:p w14:paraId="436E5BCB" w14:textId="77777777" w:rsidR="00DD55F4" w:rsidRPr="005175AC" w:rsidRDefault="00DD55F4" w:rsidP="00296B6A">
            <w:pPr>
              <w:tabs>
                <w:tab w:val="left" w:pos="634"/>
              </w:tabs>
              <w:ind w:right="277"/>
              <w:rPr>
                <w:rFonts w:ascii="Arial" w:hAnsi="Arial" w:cs="Arial"/>
                <w:color w:val="000000"/>
                <w:sz w:val="12"/>
                <w:szCs w:val="12"/>
                <w:lang w:eastAsia="es-MX"/>
              </w:rPr>
            </w:pPr>
            <w:r w:rsidRPr="005175AC">
              <w:rPr>
                <w:rFonts w:ascii="Arial" w:hAnsi="Arial" w:cs="Arial"/>
                <w:color w:val="000000"/>
                <w:sz w:val="12"/>
                <w:szCs w:val="12"/>
                <w:lang w:eastAsia="es-MX"/>
              </w:rPr>
              <w:t> </w:t>
            </w:r>
          </w:p>
        </w:tc>
        <w:tc>
          <w:tcPr>
            <w:tcW w:w="606" w:type="pct"/>
            <w:shd w:val="clear" w:color="auto" w:fill="auto"/>
            <w:vAlign w:val="center"/>
            <w:hideMark/>
          </w:tcPr>
          <w:p w14:paraId="7BC4625E" w14:textId="77777777" w:rsidR="00DD55F4" w:rsidRPr="005175AC" w:rsidRDefault="00DD55F4" w:rsidP="00296B6A">
            <w:pPr>
              <w:tabs>
                <w:tab w:val="left" w:pos="634"/>
              </w:tabs>
              <w:ind w:right="277"/>
              <w:rPr>
                <w:rFonts w:ascii="Arial" w:hAnsi="Arial" w:cs="Arial"/>
                <w:color w:val="000000"/>
                <w:sz w:val="12"/>
                <w:szCs w:val="12"/>
                <w:lang w:eastAsia="es-MX"/>
              </w:rPr>
            </w:pPr>
            <w:r w:rsidRPr="005175AC">
              <w:rPr>
                <w:rFonts w:ascii="Arial" w:hAnsi="Arial" w:cs="Arial"/>
                <w:color w:val="000000"/>
                <w:sz w:val="12"/>
                <w:szCs w:val="12"/>
                <w:lang w:eastAsia="es-MX"/>
              </w:rPr>
              <w:t> </w:t>
            </w:r>
          </w:p>
        </w:tc>
        <w:tc>
          <w:tcPr>
            <w:tcW w:w="608" w:type="pct"/>
            <w:shd w:val="clear" w:color="auto" w:fill="auto"/>
            <w:vAlign w:val="center"/>
            <w:hideMark/>
          </w:tcPr>
          <w:p w14:paraId="37FEB85E" w14:textId="77777777" w:rsidR="00DD55F4" w:rsidRPr="005175AC" w:rsidRDefault="00DD55F4" w:rsidP="00296B6A">
            <w:pPr>
              <w:tabs>
                <w:tab w:val="left" w:pos="634"/>
              </w:tabs>
              <w:ind w:right="277"/>
              <w:rPr>
                <w:rFonts w:ascii="Arial" w:hAnsi="Arial" w:cs="Arial"/>
                <w:color w:val="000000"/>
                <w:sz w:val="12"/>
                <w:szCs w:val="12"/>
                <w:lang w:eastAsia="es-MX"/>
              </w:rPr>
            </w:pPr>
            <w:r w:rsidRPr="005175AC">
              <w:rPr>
                <w:rFonts w:ascii="Arial" w:hAnsi="Arial" w:cs="Arial"/>
                <w:color w:val="000000"/>
                <w:sz w:val="12"/>
                <w:szCs w:val="12"/>
                <w:lang w:eastAsia="es-MX"/>
              </w:rPr>
              <w:t> </w:t>
            </w:r>
          </w:p>
        </w:tc>
        <w:tc>
          <w:tcPr>
            <w:tcW w:w="608" w:type="pct"/>
            <w:shd w:val="clear" w:color="auto" w:fill="auto"/>
            <w:vAlign w:val="center"/>
            <w:hideMark/>
          </w:tcPr>
          <w:p w14:paraId="41F3D0AE" w14:textId="77777777" w:rsidR="00DD55F4" w:rsidRPr="005175AC" w:rsidRDefault="00DD55F4" w:rsidP="00296B6A">
            <w:pPr>
              <w:tabs>
                <w:tab w:val="left" w:pos="634"/>
              </w:tabs>
              <w:ind w:right="277"/>
              <w:rPr>
                <w:rFonts w:ascii="Arial" w:hAnsi="Arial" w:cs="Arial"/>
                <w:color w:val="000000"/>
                <w:sz w:val="12"/>
                <w:szCs w:val="12"/>
                <w:lang w:eastAsia="es-MX"/>
              </w:rPr>
            </w:pPr>
            <w:r w:rsidRPr="005175AC">
              <w:rPr>
                <w:rFonts w:ascii="Arial" w:hAnsi="Arial" w:cs="Arial"/>
                <w:color w:val="000000"/>
                <w:sz w:val="12"/>
                <w:szCs w:val="12"/>
                <w:lang w:eastAsia="es-MX"/>
              </w:rPr>
              <w:t> </w:t>
            </w:r>
          </w:p>
        </w:tc>
      </w:tr>
      <w:tr w:rsidR="00DD55F4" w:rsidRPr="005175AC" w14:paraId="1E84876A" w14:textId="77777777" w:rsidTr="00296B6A">
        <w:trPr>
          <w:gridAfter w:val="1"/>
          <w:wAfter w:w="218" w:type="pct"/>
          <w:trHeight w:val="675"/>
        </w:trPr>
        <w:tc>
          <w:tcPr>
            <w:tcW w:w="519" w:type="pct"/>
            <w:shd w:val="clear" w:color="auto" w:fill="auto"/>
            <w:vAlign w:val="center"/>
            <w:hideMark/>
          </w:tcPr>
          <w:p w14:paraId="378D56D6" w14:textId="77777777" w:rsidR="00DD55F4" w:rsidRPr="005175AC" w:rsidRDefault="00DD55F4" w:rsidP="00296B6A">
            <w:pPr>
              <w:ind w:right="-91"/>
              <w:rPr>
                <w:rFonts w:ascii="Arial" w:hAnsi="Arial" w:cs="Arial"/>
                <w:color w:val="000000"/>
                <w:sz w:val="12"/>
                <w:szCs w:val="12"/>
                <w:lang w:eastAsia="es-MX"/>
              </w:rPr>
            </w:pPr>
            <w:r w:rsidRPr="005175AC">
              <w:rPr>
                <w:rFonts w:ascii="Arial" w:hAnsi="Arial" w:cs="Arial"/>
                <w:color w:val="000000"/>
                <w:sz w:val="12"/>
                <w:szCs w:val="12"/>
                <w:lang w:eastAsia="es-MX"/>
              </w:rPr>
              <w:t>1.- Ingresos Derivados de Financiamientos con Fuente de Pago de Recursos de Libre Disposición</w:t>
            </w:r>
          </w:p>
        </w:tc>
        <w:tc>
          <w:tcPr>
            <w:tcW w:w="589" w:type="pct"/>
            <w:shd w:val="clear" w:color="auto" w:fill="auto"/>
            <w:noWrap/>
            <w:vAlign w:val="center"/>
            <w:hideMark/>
          </w:tcPr>
          <w:p w14:paraId="44492310"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39" w:type="pct"/>
            <w:shd w:val="clear" w:color="auto" w:fill="auto"/>
            <w:noWrap/>
            <w:vAlign w:val="center"/>
            <w:hideMark/>
          </w:tcPr>
          <w:p w14:paraId="44D2F60D"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6" w:type="pct"/>
            <w:shd w:val="clear" w:color="auto" w:fill="auto"/>
            <w:noWrap/>
            <w:vAlign w:val="center"/>
            <w:hideMark/>
          </w:tcPr>
          <w:p w14:paraId="6C36375F"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7" w:type="pct"/>
            <w:shd w:val="clear" w:color="auto" w:fill="auto"/>
            <w:noWrap/>
            <w:vAlign w:val="center"/>
            <w:hideMark/>
          </w:tcPr>
          <w:p w14:paraId="76F731DE"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6" w:type="pct"/>
            <w:shd w:val="clear" w:color="auto" w:fill="auto"/>
            <w:noWrap/>
            <w:vAlign w:val="center"/>
            <w:hideMark/>
          </w:tcPr>
          <w:p w14:paraId="04410352"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shd w:val="clear" w:color="auto" w:fill="auto"/>
            <w:noWrap/>
            <w:vAlign w:val="center"/>
            <w:hideMark/>
          </w:tcPr>
          <w:p w14:paraId="4D290308"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shd w:val="clear" w:color="auto" w:fill="auto"/>
            <w:noWrap/>
            <w:vAlign w:val="center"/>
            <w:hideMark/>
          </w:tcPr>
          <w:p w14:paraId="3966241F"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DD55F4" w:rsidRPr="005175AC" w14:paraId="450CC05C" w14:textId="77777777" w:rsidTr="00296B6A">
        <w:trPr>
          <w:gridAfter w:val="1"/>
          <w:wAfter w:w="218" w:type="pct"/>
          <w:trHeight w:val="675"/>
        </w:trPr>
        <w:tc>
          <w:tcPr>
            <w:tcW w:w="519" w:type="pct"/>
            <w:tcBorders>
              <w:bottom w:val="single" w:sz="4" w:space="0" w:color="auto"/>
            </w:tcBorders>
            <w:shd w:val="clear" w:color="auto" w:fill="auto"/>
            <w:vAlign w:val="center"/>
            <w:hideMark/>
          </w:tcPr>
          <w:p w14:paraId="5D4BB24A" w14:textId="77777777" w:rsidR="00DD55F4" w:rsidRPr="005175AC" w:rsidRDefault="00DD55F4" w:rsidP="00296B6A">
            <w:pPr>
              <w:ind w:right="-91"/>
              <w:rPr>
                <w:rFonts w:ascii="Arial" w:hAnsi="Arial" w:cs="Arial"/>
                <w:color w:val="000000"/>
                <w:sz w:val="12"/>
                <w:szCs w:val="12"/>
                <w:lang w:eastAsia="es-MX"/>
              </w:rPr>
            </w:pPr>
            <w:r w:rsidRPr="005175AC">
              <w:rPr>
                <w:rFonts w:ascii="Arial" w:hAnsi="Arial" w:cs="Arial"/>
                <w:color w:val="000000"/>
                <w:sz w:val="12"/>
                <w:szCs w:val="12"/>
                <w:lang w:eastAsia="es-MX"/>
              </w:rPr>
              <w:t>2.- Ingresos Derivados de Financiamientos con Fuente de Pago de Transferencias Federales Etiquetadas</w:t>
            </w:r>
          </w:p>
        </w:tc>
        <w:tc>
          <w:tcPr>
            <w:tcW w:w="589" w:type="pct"/>
            <w:tcBorders>
              <w:bottom w:val="single" w:sz="4" w:space="0" w:color="auto"/>
            </w:tcBorders>
            <w:shd w:val="clear" w:color="auto" w:fill="auto"/>
            <w:noWrap/>
            <w:vAlign w:val="center"/>
            <w:hideMark/>
          </w:tcPr>
          <w:p w14:paraId="3C03B758"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39" w:type="pct"/>
            <w:tcBorders>
              <w:bottom w:val="single" w:sz="4" w:space="0" w:color="auto"/>
            </w:tcBorders>
            <w:shd w:val="clear" w:color="auto" w:fill="auto"/>
            <w:noWrap/>
            <w:vAlign w:val="center"/>
            <w:hideMark/>
          </w:tcPr>
          <w:p w14:paraId="759D8B79"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6" w:type="pct"/>
            <w:tcBorders>
              <w:bottom w:val="single" w:sz="4" w:space="0" w:color="auto"/>
            </w:tcBorders>
            <w:shd w:val="clear" w:color="auto" w:fill="auto"/>
            <w:noWrap/>
            <w:vAlign w:val="center"/>
            <w:hideMark/>
          </w:tcPr>
          <w:p w14:paraId="37FC9F5D"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7" w:type="pct"/>
            <w:tcBorders>
              <w:bottom w:val="single" w:sz="4" w:space="0" w:color="auto"/>
            </w:tcBorders>
            <w:shd w:val="clear" w:color="auto" w:fill="auto"/>
            <w:noWrap/>
            <w:vAlign w:val="center"/>
            <w:hideMark/>
          </w:tcPr>
          <w:p w14:paraId="717A76BE"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6" w:type="pct"/>
            <w:tcBorders>
              <w:bottom w:val="single" w:sz="4" w:space="0" w:color="auto"/>
            </w:tcBorders>
            <w:shd w:val="clear" w:color="auto" w:fill="auto"/>
            <w:noWrap/>
            <w:vAlign w:val="center"/>
            <w:hideMark/>
          </w:tcPr>
          <w:p w14:paraId="022A4D90"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tcBorders>
              <w:bottom w:val="single" w:sz="4" w:space="0" w:color="auto"/>
            </w:tcBorders>
            <w:shd w:val="clear" w:color="auto" w:fill="auto"/>
            <w:noWrap/>
            <w:vAlign w:val="center"/>
            <w:hideMark/>
          </w:tcPr>
          <w:p w14:paraId="2BEE4E94"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c>
          <w:tcPr>
            <w:tcW w:w="608" w:type="pct"/>
            <w:tcBorders>
              <w:bottom w:val="single" w:sz="4" w:space="0" w:color="auto"/>
            </w:tcBorders>
            <w:shd w:val="clear" w:color="auto" w:fill="auto"/>
            <w:noWrap/>
            <w:vAlign w:val="center"/>
            <w:hideMark/>
          </w:tcPr>
          <w:p w14:paraId="70493F42" w14:textId="77777777" w:rsidR="00DD55F4" w:rsidRPr="005175AC" w:rsidRDefault="00DD55F4" w:rsidP="00296B6A">
            <w:pPr>
              <w:tabs>
                <w:tab w:val="left" w:pos="634"/>
              </w:tabs>
              <w:ind w:right="277"/>
              <w:jc w:val="right"/>
              <w:rPr>
                <w:rFonts w:ascii="Arial" w:hAnsi="Arial" w:cs="Arial"/>
                <w:color w:val="000000"/>
                <w:sz w:val="12"/>
                <w:szCs w:val="12"/>
                <w:lang w:eastAsia="es-MX"/>
              </w:rPr>
            </w:pPr>
            <w:r w:rsidRPr="005175AC">
              <w:rPr>
                <w:rFonts w:ascii="Arial" w:hAnsi="Arial" w:cs="Arial"/>
                <w:color w:val="000000"/>
                <w:sz w:val="12"/>
                <w:szCs w:val="12"/>
                <w:lang w:eastAsia="es-MX"/>
              </w:rPr>
              <w:t>0.00</w:t>
            </w:r>
          </w:p>
        </w:tc>
      </w:tr>
      <w:tr w:rsidR="00DD55F4" w:rsidRPr="005175AC" w14:paraId="48840AA8" w14:textId="77777777" w:rsidTr="00296B6A">
        <w:trPr>
          <w:gridAfter w:val="1"/>
          <w:wAfter w:w="218" w:type="pct"/>
          <w:trHeight w:val="450"/>
        </w:trPr>
        <w:tc>
          <w:tcPr>
            <w:tcW w:w="519" w:type="pct"/>
            <w:tcBorders>
              <w:bottom w:val="single" w:sz="4" w:space="0" w:color="auto"/>
            </w:tcBorders>
            <w:shd w:val="clear" w:color="auto" w:fill="auto"/>
            <w:vAlign w:val="center"/>
            <w:hideMark/>
          </w:tcPr>
          <w:p w14:paraId="153C6D28" w14:textId="77777777" w:rsidR="00DD55F4" w:rsidRPr="005175AC" w:rsidRDefault="00DD55F4" w:rsidP="00296B6A">
            <w:pPr>
              <w:ind w:right="-91"/>
              <w:rPr>
                <w:rFonts w:ascii="Arial" w:hAnsi="Arial" w:cs="Arial"/>
                <w:b/>
                <w:bCs/>
                <w:color w:val="000000"/>
                <w:sz w:val="12"/>
                <w:szCs w:val="12"/>
                <w:lang w:eastAsia="es-MX"/>
              </w:rPr>
            </w:pPr>
            <w:r w:rsidRPr="005175AC">
              <w:rPr>
                <w:rFonts w:ascii="Arial" w:hAnsi="Arial" w:cs="Arial"/>
                <w:b/>
                <w:bCs/>
                <w:color w:val="000000"/>
                <w:sz w:val="12"/>
                <w:szCs w:val="12"/>
                <w:lang w:eastAsia="es-MX"/>
              </w:rPr>
              <w:t>3.- Ingresos Derivados de Financiamiento (3=1+2)</w:t>
            </w:r>
          </w:p>
        </w:tc>
        <w:tc>
          <w:tcPr>
            <w:tcW w:w="589" w:type="pct"/>
            <w:tcBorders>
              <w:bottom w:val="single" w:sz="4" w:space="0" w:color="auto"/>
            </w:tcBorders>
            <w:shd w:val="clear" w:color="auto" w:fill="auto"/>
            <w:vAlign w:val="center"/>
            <w:hideMark/>
          </w:tcPr>
          <w:p w14:paraId="4A3441F1"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0.00</w:t>
            </w:r>
          </w:p>
        </w:tc>
        <w:tc>
          <w:tcPr>
            <w:tcW w:w="639" w:type="pct"/>
            <w:tcBorders>
              <w:bottom w:val="single" w:sz="4" w:space="0" w:color="auto"/>
            </w:tcBorders>
            <w:shd w:val="clear" w:color="auto" w:fill="auto"/>
            <w:vAlign w:val="center"/>
            <w:hideMark/>
          </w:tcPr>
          <w:p w14:paraId="51D28D0C"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0.00</w:t>
            </w:r>
          </w:p>
        </w:tc>
        <w:tc>
          <w:tcPr>
            <w:tcW w:w="606" w:type="pct"/>
            <w:tcBorders>
              <w:bottom w:val="single" w:sz="4" w:space="0" w:color="auto"/>
            </w:tcBorders>
            <w:shd w:val="clear" w:color="auto" w:fill="auto"/>
            <w:vAlign w:val="center"/>
            <w:hideMark/>
          </w:tcPr>
          <w:p w14:paraId="1579DEAD"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0.00</w:t>
            </w:r>
          </w:p>
        </w:tc>
        <w:tc>
          <w:tcPr>
            <w:tcW w:w="607" w:type="pct"/>
            <w:tcBorders>
              <w:bottom w:val="single" w:sz="4" w:space="0" w:color="auto"/>
            </w:tcBorders>
            <w:shd w:val="clear" w:color="auto" w:fill="auto"/>
            <w:vAlign w:val="center"/>
            <w:hideMark/>
          </w:tcPr>
          <w:p w14:paraId="7F605A1A"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0.00</w:t>
            </w:r>
          </w:p>
        </w:tc>
        <w:tc>
          <w:tcPr>
            <w:tcW w:w="606" w:type="pct"/>
            <w:tcBorders>
              <w:bottom w:val="single" w:sz="4" w:space="0" w:color="auto"/>
            </w:tcBorders>
            <w:shd w:val="clear" w:color="auto" w:fill="auto"/>
            <w:vAlign w:val="center"/>
            <w:hideMark/>
          </w:tcPr>
          <w:p w14:paraId="2E6D8DAF"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0.00</w:t>
            </w:r>
          </w:p>
        </w:tc>
        <w:tc>
          <w:tcPr>
            <w:tcW w:w="608" w:type="pct"/>
            <w:tcBorders>
              <w:bottom w:val="single" w:sz="4" w:space="0" w:color="auto"/>
            </w:tcBorders>
            <w:shd w:val="clear" w:color="auto" w:fill="auto"/>
            <w:vAlign w:val="center"/>
            <w:hideMark/>
          </w:tcPr>
          <w:p w14:paraId="3BE13E54"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0.00</w:t>
            </w:r>
          </w:p>
        </w:tc>
        <w:tc>
          <w:tcPr>
            <w:tcW w:w="608" w:type="pct"/>
            <w:tcBorders>
              <w:bottom w:val="single" w:sz="4" w:space="0" w:color="auto"/>
            </w:tcBorders>
            <w:shd w:val="clear" w:color="auto" w:fill="auto"/>
            <w:vAlign w:val="center"/>
            <w:hideMark/>
          </w:tcPr>
          <w:p w14:paraId="4B20E87E" w14:textId="77777777" w:rsidR="00DD55F4" w:rsidRPr="005175AC" w:rsidRDefault="00DD55F4" w:rsidP="00296B6A">
            <w:pPr>
              <w:tabs>
                <w:tab w:val="left" w:pos="634"/>
              </w:tabs>
              <w:ind w:right="277"/>
              <w:jc w:val="right"/>
              <w:rPr>
                <w:rFonts w:ascii="Arial" w:hAnsi="Arial" w:cs="Arial"/>
                <w:b/>
                <w:bCs/>
                <w:color w:val="000000"/>
                <w:sz w:val="12"/>
                <w:szCs w:val="12"/>
                <w:lang w:eastAsia="es-MX"/>
              </w:rPr>
            </w:pPr>
            <w:r w:rsidRPr="005175AC">
              <w:rPr>
                <w:rFonts w:ascii="Arial" w:hAnsi="Arial" w:cs="Arial"/>
                <w:b/>
                <w:bCs/>
                <w:color w:val="000000"/>
                <w:sz w:val="12"/>
                <w:szCs w:val="12"/>
                <w:lang w:eastAsia="es-MX"/>
              </w:rPr>
              <w:t>0.00</w:t>
            </w:r>
          </w:p>
        </w:tc>
      </w:tr>
      <w:tr w:rsidR="00DD55F4" w:rsidRPr="005175AC" w14:paraId="700068B9" w14:textId="77777777" w:rsidTr="00296B6A">
        <w:trPr>
          <w:trHeight w:val="225"/>
        </w:trPr>
        <w:tc>
          <w:tcPr>
            <w:tcW w:w="5000" w:type="pct"/>
            <w:gridSpan w:val="9"/>
            <w:tcBorders>
              <w:top w:val="nil"/>
              <w:left w:val="nil"/>
              <w:bottom w:val="nil"/>
              <w:right w:val="nil"/>
            </w:tcBorders>
            <w:shd w:val="clear" w:color="auto" w:fill="auto"/>
            <w:vAlign w:val="center"/>
            <w:hideMark/>
          </w:tcPr>
          <w:p w14:paraId="0C99A38E" w14:textId="77777777" w:rsidR="00DD55F4" w:rsidRDefault="00DD55F4" w:rsidP="00296B6A">
            <w:pPr>
              <w:ind w:right="277"/>
              <w:rPr>
                <w:rFonts w:ascii="Arial" w:hAnsi="Arial" w:cs="Arial"/>
                <w:color w:val="000000"/>
                <w:sz w:val="12"/>
                <w:szCs w:val="12"/>
                <w:lang w:eastAsia="es-MX"/>
              </w:rPr>
            </w:pPr>
          </w:p>
          <w:p w14:paraId="7D242DDD" w14:textId="77777777" w:rsidR="00DD55F4" w:rsidRPr="005175AC" w:rsidRDefault="00DD55F4" w:rsidP="00296B6A">
            <w:pPr>
              <w:ind w:right="277"/>
              <w:rPr>
                <w:rFonts w:ascii="Arial" w:hAnsi="Arial" w:cs="Arial"/>
                <w:color w:val="000000"/>
                <w:sz w:val="12"/>
                <w:szCs w:val="12"/>
                <w:lang w:eastAsia="es-MX"/>
              </w:rPr>
            </w:pPr>
            <w:r w:rsidRPr="005175AC">
              <w:rPr>
                <w:rFonts w:ascii="Arial" w:hAnsi="Arial" w:cs="Arial"/>
                <w:color w:val="000000"/>
                <w:sz w:val="12"/>
                <w:szCs w:val="12"/>
                <w:lang w:eastAsia="es-MX"/>
              </w:rPr>
              <w:t>1. Los importes corresponden al momento contable de los ingresos devengados.</w:t>
            </w:r>
          </w:p>
        </w:tc>
      </w:tr>
      <w:tr w:rsidR="00DD55F4" w:rsidRPr="005175AC" w14:paraId="5982EA5F" w14:textId="77777777" w:rsidTr="00296B6A">
        <w:trPr>
          <w:trHeight w:val="70"/>
        </w:trPr>
        <w:tc>
          <w:tcPr>
            <w:tcW w:w="5000" w:type="pct"/>
            <w:gridSpan w:val="9"/>
            <w:tcBorders>
              <w:top w:val="nil"/>
              <w:left w:val="nil"/>
              <w:bottom w:val="nil"/>
              <w:right w:val="nil"/>
            </w:tcBorders>
            <w:shd w:val="clear" w:color="auto" w:fill="auto"/>
            <w:vAlign w:val="center"/>
            <w:hideMark/>
          </w:tcPr>
          <w:p w14:paraId="5ABE81B5" w14:textId="77777777" w:rsidR="00DD55F4" w:rsidRPr="005175AC" w:rsidRDefault="00DD55F4" w:rsidP="00296B6A">
            <w:pPr>
              <w:ind w:right="277"/>
              <w:rPr>
                <w:rFonts w:ascii="Arial" w:hAnsi="Arial" w:cs="Arial"/>
                <w:color w:val="000000"/>
                <w:sz w:val="12"/>
                <w:szCs w:val="12"/>
                <w:lang w:eastAsia="es-MX"/>
              </w:rPr>
            </w:pPr>
            <w:r w:rsidRPr="005175AC">
              <w:rPr>
                <w:rFonts w:ascii="Arial" w:hAnsi="Arial" w:cs="Arial"/>
                <w:color w:val="000000"/>
                <w:sz w:val="12"/>
                <w:szCs w:val="12"/>
                <w:lang w:eastAsia="es-MX"/>
              </w:rPr>
              <w:t xml:space="preserve">2. Los importes corresponden a los ingresos devengados al cierre trimestral más reciente disponible y estimado para el resto del ejercicio. </w:t>
            </w:r>
          </w:p>
        </w:tc>
      </w:tr>
    </w:tbl>
    <w:p w14:paraId="16A0027B" w14:textId="77777777" w:rsidR="00DD55F4" w:rsidRPr="007816F3" w:rsidRDefault="00DD55F4" w:rsidP="004215F5">
      <w:pPr>
        <w:jc w:val="both"/>
        <w:rPr>
          <w:rFonts w:ascii="Arial" w:hAnsi="Arial" w:cs="Arial"/>
          <w:b/>
          <w:bCs/>
        </w:rPr>
      </w:pPr>
    </w:p>
    <w:p w14:paraId="665C0CF0" w14:textId="77777777" w:rsidR="00DD55F4" w:rsidRPr="007816F3" w:rsidRDefault="00DD55F4" w:rsidP="004215F5">
      <w:pPr>
        <w:pStyle w:val="Textoindependiente"/>
        <w:spacing w:after="0"/>
        <w:jc w:val="both"/>
        <w:rPr>
          <w:rFonts w:ascii="Arial" w:hAnsi="Arial" w:cs="Arial"/>
        </w:rPr>
      </w:pPr>
      <w:r w:rsidRPr="007816F3">
        <w:rPr>
          <w:rFonts w:ascii="Arial" w:hAnsi="Arial" w:cs="Arial"/>
          <w:b/>
        </w:rPr>
        <w:t>DÉCIMO SEXTO.</w:t>
      </w:r>
      <w:r w:rsidRPr="007816F3">
        <w:rPr>
          <w:rFonts w:ascii="Arial" w:hAnsi="Arial" w:cs="Arial"/>
          <w:b/>
          <w:spacing w:val="1"/>
        </w:rPr>
        <w:t xml:space="preserve"> </w:t>
      </w:r>
      <w:proofErr w:type="gramStart"/>
      <w:r w:rsidRPr="007816F3">
        <w:rPr>
          <w:rFonts w:ascii="Arial" w:hAnsi="Arial" w:cs="Arial"/>
        </w:rPr>
        <w:t>Que</w:t>
      </w:r>
      <w:proofErr w:type="gramEnd"/>
      <w:r w:rsidRPr="007816F3">
        <w:rPr>
          <w:rFonts w:ascii="Arial" w:hAnsi="Arial" w:cs="Arial"/>
        </w:rPr>
        <w:t xml:space="preserve"> de acuerdo con las estimaciones, para el periodo 2025-2030 se espera que los ingresos estatales mantengan un ritmo de crecimiento de 16%, proyectando un crecimiento promedio anual de 3.2%.</w:t>
      </w:r>
    </w:p>
    <w:p w14:paraId="74693FAE" w14:textId="77777777" w:rsidR="00DD55F4" w:rsidRPr="007816F3" w:rsidRDefault="00DD55F4" w:rsidP="004215F5">
      <w:pPr>
        <w:pStyle w:val="Textoindependiente"/>
        <w:spacing w:after="0"/>
        <w:jc w:val="both"/>
        <w:rPr>
          <w:rFonts w:ascii="Arial" w:hAnsi="Arial" w:cs="Arial"/>
        </w:rPr>
      </w:pPr>
    </w:p>
    <w:p w14:paraId="04BCF704" w14:textId="77777777" w:rsidR="00DD55F4" w:rsidRPr="007816F3" w:rsidRDefault="00DD55F4" w:rsidP="004215F5">
      <w:pPr>
        <w:pStyle w:val="Textoindependiente"/>
        <w:spacing w:after="0"/>
        <w:jc w:val="both"/>
        <w:rPr>
          <w:rFonts w:ascii="Arial" w:hAnsi="Arial" w:cs="Arial"/>
        </w:rPr>
      </w:pPr>
      <w:r w:rsidRPr="007816F3">
        <w:rPr>
          <w:rFonts w:ascii="Arial" w:hAnsi="Arial" w:cs="Arial"/>
        </w:rPr>
        <w:t xml:space="preserve">El monto más representativo es en el rubro de Aportaciones, con una proyección para 2030 de 5,829 millones de pesos, con un crecimiento del 18% respecto al 2025. </w:t>
      </w:r>
    </w:p>
    <w:p w14:paraId="605D1138" w14:textId="77777777" w:rsidR="00DD55F4" w:rsidRPr="007816F3" w:rsidRDefault="00DD55F4" w:rsidP="004215F5">
      <w:pPr>
        <w:pStyle w:val="Textoindependiente"/>
        <w:spacing w:after="0"/>
        <w:jc w:val="both"/>
        <w:rPr>
          <w:rFonts w:ascii="Arial" w:hAnsi="Arial" w:cs="Arial"/>
        </w:rPr>
      </w:pPr>
    </w:p>
    <w:p w14:paraId="6D6A7718" w14:textId="77777777" w:rsidR="00DD55F4" w:rsidRPr="007816F3" w:rsidRDefault="00DD55F4" w:rsidP="004215F5">
      <w:pPr>
        <w:pStyle w:val="Textoindependiente"/>
        <w:spacing w:after="0"/>
        <w:jc w:val="both"/>
        <w:rPr>
          <w:rFonts w:ascii="Arial" w:hAnsi="Arial" w:cs="Arial"/>
        </w:rPr>
      </w:pPr>
      <w:r w:rsidRPr="007816F3">
        <w:rPr>
          <w:rFonts w:ascii="Arial" w:hAnsi="Arial" w:cs="Arial"/>
        </w:rPr>
        <w:t>Dentro de las Participaciones Federales el crecimiento previsto para el mismo periodo será de 4,295 millones de pesos, un 3% promedio anual.</w:t>
      </w:r>
    </w:p>
    <w:p w14:paraId="2867C72F" w14:textId="77777777" w:rsidR="00DD55F4" w:rsidRPr="00DD55F4" w:rsidRDefault="00DD55F4" w:rsidP="004215F5">
      <w:pPr>
        <w:pStyle w:val="Textoindependiente"/>
        <w:spacing w:after="0"/>
        <w:jc w:val="both"/>
        <w:rPr>
          <w:rFonts w:ascii="Arial" w:hAnsi="Arial" w:cs="Arial"/>
          <w:sz w:val="24"/>
          <w:szCs w:val="24"/>
        </w:rPr>
      </w:pPr>
    </w:p>
    <w:p w14:paraId="3523BBA1" w14:textId="12C5BAA2" w:rsidR="00DD55F4" w:rsidRDefault="00DD55F4" w:rsidP="004215F5">
      <w:pPr>
        <w:pStyle w:val="Textoindependiente"/>
        <w:spacing w:after="0"/>
        <w:jc w:val="both"/>
        <w:rPr>
          <w:rFonts w:ascii="Arial" w:hAnsi="Arial" w:cs="Arial"/>
        </w:rPr>
      </w:pPr>
      <w:r w:rsidRPr="007816F3">
        <w:rPr>
          <w:rFonts w:ascii="Arial" w:hAnsi="Arial" w:cs="Arial"/>
          <w:b/>
        </w:rPr>
        <w:t xml:space="preserve">DÉCIMO </w:t>
      </w:r>
      <w:r w:rsidR="00970201" w:rsidRPr="007816F3">
        <w:rPr>
          <w:rFonts w:ascii="Arial" w:hAnsi="Arial" w:cs="Arial"/>
          <w:b/>
        </w:rPr>
        <w:t>SÉPTIMO</w:t>
      </w:r>
      <w:r w:rsidRPr="007816F3">
        <w:rPr>
          <w:rFonts w:ascii="Arial" w:hAnsi="Arial" w:cs="Arial"/>
          <w:b/>
        </w:rPr>
        <w:t xml:space="preserve">. </w:t>
      </w:r>
      <w:r w:rsidRPr="007816F3">
        <w:rPr>
          <w:rFonts w:ascii="Arial" w:hAnsi="Arial" w:cs="Arial"/>
        </w:rPr>
        <w:t>Que las Participaciones Federales dependen directamente de la Recaudación Participable, tales como el Impuesto Sobre la Renta y el Impuesto al Valor Agregado, así como del Impuestos Especial Sobre Producción y Servicios, tributos estrechamente ligados a la actividad económica, misma que está experimentando presiones inflacionarias, por lo que una disminución en el Producto Interno Bruto, afecta directamente al Estado.</w:t>
      </w:r>
    </w:p>
    <w:p w14:paraId="6CBF26DD" w14:textId="77777777" w:rsidR="00E30C06" w:rsidRPr="007816F3" w:rsidRDefault="00E30C06" w:rsidP="004215F5">
      <w:pPr>
        <w:pStyle w:val="Textoindependiente"/>
        <w:spacing w:after="0"/>
        <w:jc w:val="both"/>
        <w:rPr>
          <w:rFonts w:ascii="Arial" w:hAnsi="Arial" w:cs="Arial"/>
        </w:rPr>
      </w:pPr>
    </w:p>
    <w:p w14:paraId="36E1E6A1" w14:textId="77777777" w:rsidR="00DD55F4" w:rsidRPr="007816F3" w:rsidRDefault="00DD55F4" w:rsidP="004215F5">
      <w:pPr>
        <w:pStyle w:val="Textoindependiente"/>
        <w:spacing w:after="0"/>
        <w:jc w:val="both"/>
        <w:rPr>
          <w:rFonts w:ascii="Arial" w:hAnsi="Arial" w:cs="Arial"/>
        </w:rPr>
      </w:pPr>
      <w:r w:rsidRPr="007816F3">
        <w:rPr>
          <w:rFonts w:ascii="Arial" w:hAnsi="Arial" w:cs="Arial"/>
          <w:b/>
        </w:rPr>
        <w:t>DÉCIMO</w:t>
      </w:r>
      <w:r w:rsidRPr="007816F3">
        <w:rPr>
          <w:rFonts w:ascii="Arial" w:hAnsi="Arial" w:cs="Arial"/>
          <w:b/>
          <w:spacing w:val="1"/>
        </w:rPr>
        <w:t xml:space="preserve"> </w:t>
      </w:r>
      <w:r w:rsidRPr="007816F3">
        <w:rPr>
          <w:rFonts w:ascii="Arial" w:hAnsi="Arial" w:cs="Arial"/>
          <w:b/>
        </w:rPr>
        <w:t>OCTAVO.</w:t>
      </w:r>
      <w:r w:rsidRPr="007816F3">
        <w:rPr>
          <w:rFonts w:ascii="Arial" w:hAnsi="Arial" w:cs="Arial"/>
          <w:b/>
          <w:spacing w:val="1"/>
        </w:rPr>
        <w:t xml:space="preserve"> </w:t>
      </w:r>
      <w:r w:rsidRPr="007816F3">
        <w:rPr>
          <w:rFonts w:ascii="Arial" w:hAnsi="Arial" w:cs="Arial"/>
        </w:rPr>
        <w:t>Que</w:t>
      </w:r>
      <w:r w:rsidRPr="007816F3">
        <w:rPr>
          <w:rFonts w:ascii="Arial" w:hAnsi="Arial" w:cs="Arial"/>
          <w:spacing w:val="1"/>
        </w:rPr>
        <w:t xml:space="preserve"> </w:t>
      </w:r>
      <w:r w:rsidRPr="007816F3">
        <w:rPr>
          <w:rFonts w:ascii="Arial" w:hAnsi="Arial" w:cs="Arial"/>
        </w:rPr>
        <w:t>las estimaciones de las Transferencias por Convenios o Aportaciones Federales, estarán sujetas a los ajustes que realice la Federación, conforme al cumplimiento de metas de crecimiento en los ingresos federales.</w:t>
      </w:r>
    </w:p>
    <w:p w14:paraId="135991D9" w14:textId="77777777" w:rsidR="00DD55F4" w:rsidRPr="007816F3" w:rsidRDefault="00DD55F4" w:rsidP="004215F5">
      <w:pPr>
        <w:pStyle w:val="Textoindependiente"/>
        <w:spacing w:after="0"/>
        <w:jc w:val="both"/>
        <w:rPr>
          <w:rFonts w:ascii="Arial" w:hAnsi="Arial" w:cs="Arial"/>
        </w:rPr>
      </w:pPr>
    </w:p>
    <w:p w14:paraId="6E3CDFC3" w14:textId="77777777" w:rsidR="00DD55F4" w:rsidRPr="007816F3" w:rsidRDefault="00DD55F4" w:rsidP="004215F5">
      <w:pPr>
        <w:pStyle w:val="Textoindependiente"/>
        <w:spacing w:after="0"/>
        <w:jc w:val="both"/>
        <w:rPr>
          <w:rFonts w:ascii="Arial" w:hAnsi="Arial" w:cs="Arial"/>
        </w:rPr>
      </w:pPr>
      <w:r w:rsidRPr="007816F3">
        <w:rPr>
          <w:rFonts w:ascii="Arial" w:hAnsi="Arial" w:cs="Arial"/>
          <w:b/>
        </w:rPr>
        <w:t>DÉCIMO NOVENO</w:t>
      </w:r>
      <w:r w:rsidRPr="007816F3">
        <w:rPr>
          <w:rFonts w:ascii="Arial" w:hAnsi="Arial" w:cs="Arial"/>
        </w:rPr>
        <w:t>. Que se han considerado estímulos y facilidades administrativas, para garantizar a los ciudadanos hidalguenses la integridad y certeza de la posesión y propiedad de su patrimonio, fortalecer la profesionalización de los cuerpos de seguridad del estado, fomentar la inclusión de mujeres en el transporte público, así como promover el cumplimiento de obligaciones tributarias, en rubros como:</w:t>
      </w:r>
    </w:p>
    <w:p w14:paraId="306122F1" w14:textId="77777777" w:rsidR="00DD55F4" w:rsidRPr="007816F3" w:rsidRDefault="00DD55F4" w:rsidP="004215F5">
      <w:pPr>
        <w:pStyle w:val="Textoindependiente"/>
        <w:spacing w:after="0"/>
        <w:jc w:val="both"/>
        <w:rPr>
          <w:rFonts w:ascii="Arial" w:hAnsi="Arial" w:cs="Arial"/>
        </w:rPr>
      </w:pPr>
    </w:p>
    <w:p w14:paraId="19864EFF" w14:textId="77777777" w:rsidR="00DD55F4" w:rsidRPr="007816F3" w:rsidRDefault="00DD55F4" w:rsidP="004215F5">
      <w:pPr>
        <w:pStyle w:val="Prrafodelista"/>
        <w:widowControl w:val="0"/>
        <w:numPr>
          <w:ilvl w:val="0"/>
          <w:numId w:val="12"/>
        </w:numPr>
        <w:autoSpaceDE w:val="0"/>
        <w:autoSpaceDN w:val="0"/>
        <w:ind w:left="567" w:hanging="283"/>
        <w:contextualSpacing w:val="0"/>
        <w:jc w:val="both"/>
        <w:rPr>
          <w:rFonts w:ascii="Arial" w:hAnsi="Arial" w:cs="Arial"/>
        </w:rPr>
      </w:pPr>
      <w:r w:rsidRPr="007816F3">
        <w:rPr>
          <w:rFonts w:ascii="Arial" w:hAnsi="Arial" w:cs="Arial"/>
        </w:rPr>
        <w:t xml:space="preserve">Control vehicular, Impuestos y Derechos. </w:t>
      </w:r>
    </w:p>
    <w:p w14:paraId="50913F23" w14:textId="77777777" w:rsidR="00DD55F4" w:rsidRPr="007816F3" w:rsidRDefault="00DD55F4" w:rsidP="004215F5">
      <w:pPr>
        <w:pStyle w:val="Prrafodelista"/>
        <w:widowControl w:val="0"/>
        <w:numPr>
          <w:ilvl w:val="0"/>
          <w:numId w:val="12"/>
        </w:numPr>
        <w:autoSpaceDE w:val="0"/>
        <w:autoSpaceDN w:val="0"/>
        <w:ind w:left="567" w:hanging="283"/>
        <w:contextualSpacing w:val="0"/>
        <w:jc w:val="both"/>
        <w:rPr>
          <w:rFonts w:ascii="Arial" w:hAnsi="Arial" w:cs="Arial"/>
        </w:rPr>
      </w:pPr>
      <w:r w:rsidRPr="007816F3">
        <w:rPr>
          <w:rFonts w:ascii="Arial" w:hAnsi="Arial" w:cs="Arial"/>
        </w:rPr>
        <w:t xml:space="preserve">Certeza jurídica patrimonial en la actividad registral, relacionada con el pago de los Derechos respecto de la pequeña propiedad privada y la vivienda de interés social. </w:t>
      </w:r>
    </w:p>
    <w:p w14:paraId="6F300BE3" w14:textId="77777777" w:rsidR="00DD55F4" w:rsidRPr="007816F3" w:rsidRDefault="00DD55F4" w:rsidP="004215F5">
      <w:pPr>
        <w:pStyle w:val="Prrafodelista"/>
        <w:widowControl w:val="0"/>
        <w:numPr>
          <w:ilvl w:val="0"/>
          <w:numId w:val="12"/>
        </w:numPr>
        <w:autoSpaceDE w:val="0"/>
        <w:autoSpaceDN w:val="0"/>
        <w:ind w:left="567" w:hanging="283"/>
        <w:contextualSpacing w:val="0"/>
        <w:jc w:val="both"/>
        <w:rPr>
          <w:rFonts w:ascii="Arial" w:hAnsi="Arial" w:cs="Arial"/>
        </w:rPr>
      </w:pPr>
      <w:r w:rsidRPr="007816F3">
        <w:rPr>
          <w:rFonts w:ascii="Arial" w:hAnsi="Arial" w:cs="Arial"/>
        </w:rPr>
        <w:t xml:space="preserve">Agua potable, derecho al acceso, disposición y saneamiento en el consumo personal y doméstico. </w:t>
      </w:r>
    </w:p>
    <w:p w14:paraId="2144EC11" w14:textId="77777777" w:rsidR="00DD55F4" w:rsidRPr="007816F3" w:rsidRDefault="00DD55F4" w:rsidP="004215F5">
      <w:pPr>
        <w:pStyle w:val="Prrafodelista"/>
        <w:widowControl w:val="0"/>
        <w:numPr>
          <w:ilvl w:val="0"/>
          <w:numId w:val="12"/>
        </w:numPr>
        <w:autoSpaceDE w:val="0"/>
        <w:autoSpaceDN w:val="0"/>
        <w:ind w:left="567" w:hanging="283"/>
        <w:contextualSpacing w:val="0"/>
        <w:jc w:val="both"/>
        <w:rPr>
          <w:rFonts w:ascii="Arial" w:hAnsi="Arial" w:cs="Arial"/>
        </w:rPr>
      </w:pPr>
      <w:r w:rsidRPr="007816F3">
        <w:rPr>
          <w:rFonts w:ascii="Arial" w:hAnsi="Arial" w:cs="Arial"/>
        </w:rPr>
        <w:t xml:space="preserve">Seguridad Pública, evaluación de control y confianza. </w:t>
      </w:r>
    </w:p>
    <w:p w14:paraId="6C211187" w14:textId="77777777" w:rsidR="00DD55F4" w:rsidRPr="007816F3" w:rsidRDefault="00DD55F4" w:rsidP="004215F5">
      <w:pPr>
        <w:pStyle w:val="Prrafodelista"/>
        <w:widowControl w:val="0"/>
        <w:numPr>
          <w:ilvl w:val="0"/>
          <w:numId w:val="12"/>
        </w:numPr>
        <w:autoSpaceDE w:val="0"/>
        <w:autoSpaceDN w:val="0"/>
        <w:ind w:left="567" w:hanging="283"/>
        <w:contextualSpacing w:val="0"/>
        <w:jc w:val="both"/>
        <w:rPr>
          <w:rFonts w:ascii="Arial" w:hAnsi="Arial" w:cs="Arial"/>
        </w:rPr>
      </w:pPr>
      <w:r w:rsidRPr="007816F3">
        <w:rPr>
          <w:rFonts w:ascii="Arial" w:hAnsi="Arial" w:cs="Arial"/>
        </w:rPr>
        <w:t xml:space="preserve">Créditos fiscales, multas y accesorios. </w:t>
      </w:r>
    </w:p>
    <w:p w14:paraId="4BAA6194" w14:textId="77777777" w:rsidR="00DD55F4" w:rsidRPr="007816F3" w:rsidRDefault="00DD55F4" w:rsidP="004215F5">
      <w:pPr>
        <w:pStyle w:val="Prrafodelista"/>
        <w:widowControl w:val="0"/>
        <w:numPr>
          <w:ilvl w:val="0"/>
          <w:numId w:val="12"/>
        </w:numPr>
        <w:autoSpaceDE w:val="0"/>
        <w:autoSpaceDN w:val="0"/>
        <w:ind w:left="567" w:hanging="283"/>
        <w:contextualSpacing w:val="0"/>
        <w:jc w:val="both"/>
        <w:rPr>
          <w:rFonts w:ascii="Arial" w:hAnsi="Arial" w:cs="Arial"/>
        </w:rPr>
      </w:pPr>
      <w:r w:rsidRPr="007816F3">
        <w:rPr>
          <w:rFonts w:ascii="Arial" w:hAnsi="Arial" w:cs="Arial"/>
        </w:rPr>
        <w:t xml:space="preserve">Garantizar el derecho a la movilidad, accesible en disponibilidad, calidad y perspectiva. </w:t>
      </w:r>
    </w:p>
    <w:p w14:paraId="626E3637" w14:textId="77777777" w:rsidR="00DD55F4" w:rsidRPr="007816F3" w:rsidRDefault="00DD55F4" w:rsidP="004215F5">
      <w:pPr>
        <w:pStyle w:val="Prrafodelista"/>
        <w:widowControl w:val="0"/>
        <w:numPr>
          <w:ilvl w:val="0"/>
          <w:numId w:val="12"/>
        </w:numPr>
        <w:autoSpaceDE w:val="0"/>
        <w:autoSpaceDN w:val="0"/>
        <w:ind w:left="567" w:hanging="283"/>
        <w:contextualSpacing w:val="0"/>
        <w:jc w:val="both"/>
        <w:rPr>
          <w:rFonts w:ascii="Arial" w:hAnsi="Arial" w:cs="Arial"/>
        </w:rPr>
      </w:pPr>
      <w:r w:rsidRPr="007816F3">
        <w:rPr>
          <w:rFonts w:ascii="Arial" w:hAnsi="Arial" w:cs="Arial"/>
        </w:rPr>
        <w:t>Acceso al empleo a grupos vulnerables.</w:t>
      </w:r>
    </w:p>
    <w:p w14:paraId="3922D8D0" w14:textId="77777777" w:rsidR="00DD55F4" w:rsidRPr="007816F3" w:rsidRDefault="00DD55F4" w:rsidP="004215F5">
      <w:pPr>
        <w:tabs>
          <w:tab w:val="left" w:pos="1242"/>
        </w:tabs>
        <w:jc w:val="both"/>
        <w:rPr>
          <w:rFonts w:ascii="Arial" w:hAnsi="Arial" w:cs="Arial"/>
        </w:rPr>
      </w:pPr>
    </w:p>
    <w:p w14:paraId="08E46E92" w14:textId="77777777" w:rsidR="00DD55F4" w:rsidRPr="007816F3" w:rsidRDefault="00DD55F4" w:rsidP="004215F5">
      <w:pPr>
        <w:pStyle w:val="Textoindependiente"/>
        <w:spacing w:after="0"/>
        <w:jc w:val="both"/>
        <w:rPr>
          <w:rFonts w:ascii="Arial" w:hAnsi="Arial" w:cs="Arial"/>
        </w:rPr>
      </w:pPr>
      <w:r w:rsidRPr="007816F3">
        <w:rPr>
          <w:rFonts w:ascii="Arial" w:hAnsi="Arial" w:cs="Arial"/>
          <w:b/>
        </w:rPr>
        <w:t xml:space="preserve">VIGÉSIMO. </w:t>
      </w:r>
      <w:r w:rsidRPr="007816F3">
        <w:rPr>
          <w:rFonts w:ascii="Arial" w:hAnsi="Arial" w:cs="Arial"/>
        </w:rPr>
        <w:t>Que la presente Iniciativa para el Ejercicio Fiscal 2025, prevé ingresos por un monto total de $71,039,555,296.00 (Setenta y un mil, treinta y nueve millones quinientos cincuenta y cinco mil doscientos noventa y seis pesos 00/100 MN), cifra mayor en un 4.3% a la estimada en el ejercicio inmediato anterior, monto que se encuentra sujeto a las variaciones que sufra el Presupuesto de Egresos de la Federación.</w:t>
      </w:r>
    </w:p>
    <w:p w14:paraId="3E7283B2" w14:textId="77777777" w:rsidR="00DD55F4" w:rsidRPr="007816F3" w:rsidRDefault="00DD55F4" w:rsidP="004215F5">
      <w:pPr>
        <w:pStyle w:val="Textoindependiente"/>
        <w:spacing w:after="0"/>
        <w:jc w:val="both"/>
        <w:rPr>
          <w:rFonts w:ascii="Arial" w:hAnsi="Arial" w:cs="Arial"/>
        </w:rPr>
      </w:pPr>
    </w:p>
    <w:p w14:paraId="4A332765" w14:textId="77777777" w:rsidR="00DD55F4" w:rsidRPr="007816F3" w:rsidRDefault="00DD55F4" w:rsidP="004215F5">
      <w:pPr>
        <w:pStyle w:val="Textoindependiente"/>
        <w:spacing w:after="0"/>
        <w:jc w:val="both"/>
        <w:rPr>
          <w:rFonts w:ascii="Arial" w:hAnsi="Arial" w:cs="Arial"/>
        </w:rPr>
      </w:pPr>
      <w:r w:rsidRPr="007816F3">
        <w:rPr>
          <w:rFonts w:ascii="Arial" w:hAnsi="Arial" w:cs="Arial"/>
          <w:b/>
        </w:rPr>
        <w:t xml:space="preserve">VIGÉSIMO PRIMERO. </w:t>
      </w:r>
      <w:r w:rsidRPr="007816F3">
        <w:rPr>
          <w:rFonts w:ascii="Arial" w:hAnsi="Arial" w:cs="Arial"/>
        </w:rPr>
        <w:t>Que se estima una recaudación de $7,465,511,800.00 (Siete mil cuatrocientos sesenta y cinco millones quinientos once mil ochocientos pesos 00/100 MN), que se conforma por Impuestos, Contribuciones de Mejoras, Derechos, Productos, Aprovechamientos y Venta de Bienes y Servicios en el rubro de Ingresos Propios, considerando las Dependencias del Poder Ejecutivo y sus Organismos Descentralizados, cifra superior en un 10.79% a la estimada en el ejercicio inmediato anterior.</w:t>
      </w:r>
    </w:p>
    <w:p w14:paraId="0AF2170C" w14:textId="77777777" w:rsidR="005E1205" w:rsidRPr="00AD3F68" w:rsidRDefault="005E1205" w:rsidP="004215F5">
      <w:pPr>
        <w:jc w:val="both"/>
        <w:rPr>
          <w:rFonts w:ascii="Arial" w:hAnsi="Arial" w:cs="Arial"/>
          <w:b/>
          <w:bCs/>
        </w:rPr>
      </w:pPr>
    </w:p>
    <w:p w14:paraId="1F9235F5" w14:textId="79C68350" w:rsidR="00C01879" w:rsidRPr="007816F3" w:rsidRDefault="00DA60F0" w:rsidP="004215F5">
      <w:pPr>
        <w:jc w:val="both"/>
        <w:rPr>
          <w:rFonts w:ascii="Arial" w:hAnsi="Arial" w:cs="Arial"/>
          <w:b/>
          <w:bCs/>
        </w:rPr>
      </w:pPr>
      <w:r w:rsidRPr="007816F3">
        <w:rPr>
          <w:rFonts w:ascii="Arial" w:hAnsi="Arial" w:cs="Arial"/>
          <w:b/>
          <w:bCs/>
        </w:rPr>
        <w:t>POR TODO LO EXPUESTO</w:t>
      </w:r>
      <w:r w:rsidR="005F1450" w:rsidRPr="007816F3">
        <w:rPr>
          <w:rFonts w:ascii="Arial" w:hAnsi="Arial" w:cs="Arial"/>
          <w:b/>
          <w:bCs/>
        </w:rPr>
        <w:t>:</w:t>
      </w:r>
    </w:p>
    <w:p w14:paraId="6CFA7676" w14:textId="77777777" w:rsidR="009765C9" w:rsidRPr="007816F3" w:rsidRDefault="009765C9" w:rsidP="004215F5">
      <w:pPr>
        <w:jc w:val="both"/>
        <w:rPr>
          <w:rFonts w:ascii="Arial" w:hAnsi="Arial" w:cs="Arial"/>
          <w:b/>
          <w:bCs/>
        </w:rPr>
      </w:pPr>
    </w:p>
    <w:p w14:paraId="735ACBD7" w14:textId="74407F89" w:rsidR="00DA60F0" w:rsidRPr="007816F3" w:rsidRDefault="005E3396" w:rsidP="004215F5">
      <w:pPr>
        <w:jc w:val="both"/>
        <w:rPr>
          <w:rFonts w:ascii="Arial" w:hAnsi="Arial" w:cs="Arial"/>
          <w:b/>
          <w:bCs/>
        </w:rPr>
      </w:pPr>
      <w:r w:rsidRPr="007816F3">
        <w:rPr>
          <w:rFonts w:ascii="Arial" w:hAnsi="Arial" w:cs="Arial"/>
          <w:b/>
          <w:bCs/>
        </w:rPr>
        <w:t>“</w:t>
      </w:r>
      <w:r w:rsidR="00C01879" w:rsidRPr="007816F3">
        <w:rPr>
          <w:rFonts w:ascii="Arial" w:hAnsi="Arial" w:cs="Arial"/>
          <w:b/>
          <w:bCs/>
        </w:rPr>
        <w:t xml:space="preserve">EL </w:t>
      </w:r>
      <w:r w:rsidR="00DA60F0" w:rsidRPr="007816F3">
        <w:rPr>
          <w:rFonts w:ascii="Arial" w:hAnsi="Arial" w:cs="Arial"/>
          <w:b/>
          <w:bCs/>
        </w:rPr>
        <w:t>CONGRESO</w:t>
      </w:r>
      <w:r w:rsidR="00C01879" w:rsidRPr="007816F3">
        <w:rPr>
          <w:rFonts w:ascii="Arial" w:hAnsi="Arial" w:cs="Arial"/>
          <w:b/>
          <w:bCs/>
        </w:rPr>
        <w:t xml:space="preserve"> DEL ESTADO LIBRE Y SOBERANO DE HIDALGO</w:t>
      </w:r>
      <w:r w:rsidR="00DA60F0" w:rsidRPr="007816F3">
        <w:rPr>
          <w:rFonts w:ascii="Arial" w:hAnsi="Arial" w:cs="Arial"/>
          <w:b/>
          <w:bCs/>
        </w:rPr>
        <w:t>, HA TENIDO A BIEN EXPEDIR EL SIGUIENTE</w:t>
      </w:r>
      <w:r w:rsidR="00C01879" w:rsidRPr="007816F3">
        <w:rPr>
          <w:rFonts w:ascii="Arial" w:hAnsi="Arial" w:cs="Arial"/>
          <w:b/>
          <w:bCs/>
        </w:rPr>
        <w:t xml:space="preserve"> </w:t>
      </w:r>
      <w:r w:rsidR="00DA60F0" w:rsidRPr="007816F3">
        <w:rPr>
          <w:rFonts w:ascii="Arial" w:hAnsi="Arial" w:cs="Arial"/>
          <w:b/>
          <w:bCs/>
        </w:rPr>
        <w:t>DECRETO</w:t>
      </w:r>
      <w:r w:rsidR="00C01879" w:rsidRPr="007816F3">
        <w:rPr>
          <w:rFonts w:ascii="Arial" w:hAnsi="Arial" w:cs="Arial"/>
          <w:b/>
          <w:bCs/>
        </w:rPr>
        <w:t xml:space="preserve"> NÚMERO </w:t>
      </w:r>
      <w:r w:rsidR="00DD55F4" w:rsidRPr="007816F3">
        <w:rPr>
          <w:rFonts w:ascii="Arial" w:hAnsi="Arial" w:cs="Arial"/>
          <w:b/>
          <w:bCs/>
        </w:rPr>
        <w:t>28</w:t>
      </w:r>
      <w:r w:rsidR="00C01879" w:rsidRPr="007816F3">
        <w:rPr>
          <w:rFonts w:ascii="Arial" w:hAnsi="Arial" w:cs="Arial"/>
          <w:b/>
          <w:bCs/>
        </w:rPr>
        <w:t xml:space="preserve"> – LXVI</w:t>
      </w:r>
      <w:r w:rsidRPr="007816F3">
        <w:rPr>
          <w:rFonts w:ascii="Arial" w:hAnsi="Arial" w:cs="Arial"/>
          <w:b/>
          <w:bCs/>
        </w:rPr>
        <w:t>”</w:t>
      </w:r>
      <w:r w:rsidR="00AB03C4" w:rsidRPr="007816F3">
        <w:rPr>
          <w:rFonts w:ascii="Arial" w:hAnsi="Arial" w:cs="Arial"/>
          <w:b/>
          <w:bCs/>
        </w:rPr>
        <w:t>:</w:t>
      </w:r>
    </w:p>
    <w:p w14:paraId="7D4AE64C" w14:textId="77777777" w:rsidR="00DA60F0" w:rsidRPr="007816F3" w:rsidRDefault="00DA60F0" w:rsidP="004215F5">
      <w:pPr>
        <w:widowControl w:val="0"/>
        <w:pBdr>
          <w:top w:val="nil"/>
          <w:left w:val="nil"/>
          <w:bottom w:val="nil"/>
          <w:right w:val="nil"/>
          <w:between w:val="nil"/>
        </w:pBdr>
        <w:ind w:left="1701" w:right="51"/>
        <w:jc w:val="both"/>
        <w:rPr>
          <w:rFonts w:ascii="Arial" w:hAnsi="Arial" w:cs="Arial"/>
          <w:b/>
          <w:bCs/>
        </w:rPr>
      </w:pPr>
    </w:p>
    <w:p w14:paraId="52FBF775" w14:textId="77777777" w:rsidR="00766B6F" w:rsidRPr="007816F3" w:rsidRDefault="00766B6F" w:rsidP="004215F5">
      <w:pPr>
        <w:widowControl w:val="0"/>
        <w:pBdr>
          <w:top w:val="nil"/>
          <w:left w:val="nil"/>
          <w:bottom w:val="nil"/>
          <w:right w:val="nil"/>
          <w:between w:val="nil"/>
        </w:pBdr>
        <w:ind w:left="1701" w:right="51"/>
        <w:jc w:val="both"/>
        <w:rPr>
          <w:rFonts w:ascii="Arial" w:hAnsi="Arial" w:cs="Arial"/>
          <w:b/>
          <w:bCs/>
        </w:rPr>
      </w:pPr>
    </w:p>
    <w:p w14:paraId="3D71E0BB" w14:textId="06681D3C" w:rsidR="00DA60F0" w:rsidRPr="007816F3" w:rsidRDefault="00DD55F4" w:rsidP="00A34F46">
      <w:pPr>
        <w:widowControl w:val="0"/>
        <w:pBdr>
          <w:top w:val="nil"/>
          <w:left w:val="nil"/>
          <w:bottom w:val="nil"/>
          <w:right w:val="nil"/>
          <w:between w:val="nil"/>
        </w:pBdr>
        <w:ind w:right="51"/>
        <w:jc w:val="both"/>
        <w:rPr>
          <w:rFonts w:ascii="Arial" w:hAnsi="Arial" w:cs="Arial"/>
          <w:b/>
          <w:bCs/>
        </w:rPr>
      </w:pPr>
      <w:r w:rsidRPr="007816F3">
        <w:rPr>
          <w:rFonts w:ascii="Arial" w:hAnsi="Arial" w:cs="Arial"/>
          <w:b/>
          <w:bCs/>
        </w:rPr>
        <w:t>QUE CONTIENE LA LEY DE INGRESOS DEL ESTADO LIBRE Y SOBERANO DE HIDALGO PARA EL EJERCICIO FISCAL DEL AÑO 2025</w:t>
      </w:r>
      <w:r w:rsidR="00F13B1B" w:rsidRPr="007816F3">
        <w:rPr>
          <w:rFonts w:ascii="Arial" w:hAnsi="Arial" w:cs="Arial"/>
          <w:b/>
          <w:bCs/>
        </w:rPr>
        <w:t>.</w:t>
      </w:r>
    </w:p>
    <w:p w14:paraId="5F265BA9" w14:textId="77777777" w:rsidR="009765C9" w:rsidRPr="007816F3" w:rsidRDefault="009765C9" w:rsidP="004215F5">
      <w:pPr>
        <w:widowControl w:val="0"/>
        <w:pBdr>
          <w:top w:val="nil"/>
          <w:left w:val="nil"/>
          <w:bottom w:val="nil"/>
          <w:right w:val="nil"/>
          <w:between w:val="nil"/>
        </w:pBdr>
        <w:ind w:left="1134" w:right="51"/>
        <w:jc w:val="both"/>
        <w:rPr>
          <w:rFonts w:ascii="Arial" w:hAnsi="Arial" w:cs="Arial"/>
          <w:b/>
          <w:bCs/>
        </w:rPr>
      </w:pPr>
    </w:p>
    <w:p w14:paraId="61CBAE50" w14:textId="77777777" w:rsidR="004544A5" w:rsidRPr="007816F3" w:rsidRDefault="004544A5" w:rsidP="004215F5">
      <w:pPr>
        <w:jc w:val="both"/>
        <w:rPr>
          <w:rFonts w:ascii="Arial" w:hAnsi="Arial" w:cs="Arial"/>
          <w:b/>
          <w:bCs/>
          <w:kern w:val="2"/>
          <w14:ligatures w14:val="standardContextual"/>
        </w:rPr>
      </w:pPr>
      <w:bookmarkStart w:id="0" w:name="_heading=h.gjdgxs" w:colFirst="0" w:colLast="0"/>
      <w:bookmarkEnd w:id="0"/>
    </w:p>
    <w:p w14:paraId="408EC5E9" w14:textId="47AA3032" w:rsidR="004544A5" w:rsidRPr="007816F3" w:rsidRDefault="00DD55F4" w:rsidP="004215F5">
      <w:pPr>
        <w:jc w:val="both"/>
        <w:rPr>
          <w:rFonts w:ascii="Arial" w:hAnsi="Arial" w:cs="Arial"/>
        </w:rPr>
      </w:pPr>
      <w:r w:rsidRPr="007816F3">
        <w:rPr>
          <w:rFonts w:ascii="Arial" w:hAnsi="Arial" w:cs="Arial"/>
          <w:b/>
          <w:bCs/>
        </w:rPr>
        <w:t xml:space="preserve">ÚNICO. </w:t>
      </w:r>
      <w:r w:rsidRPr="007816F3">
        <w:rPr>
          <w:rFonts w:ascii="Arial" w:hAnsi="Arial" w:cs="Arial"/>
        </w:rPr>
        <w:t xml:space="preserve">Que contiene la </w:t>
      </w:r>
      <w:r w:rsidRPr="007816F3">
        <w:rPr>
          <w:rFonts w:ascii="Arial" w:hAnsi="Arial" w:cs="Arial"/>
          <w:b/>
          <w:bCs/>
        </w:rPr>
        <w:t>Ley de Ingresos del Estado Libre y Soberano de Hidalgo</w:t>
      </w:r>
      <w:r w:rsidRPr="007816F3">
        <w:rPr>
          <w:rFonts w:ascii="Arial" w:hAnsi="Arial" w:cs="Arial"/>
        </w:rPr>
        <w:t>, para el ejercicio fiscal del año 2025</w:t>
      </w:r>
      <w:r w:rsidR="004544A5" w:rsidRPr="007816F3">
        <w:rPr>
          <w:rFonts w:ascii="Arial" w:hAnsi="Arial" w:cs="Arial"/>
        </w:rPr>
        <w:t>, para quedar como sigue:</w:t>
      </w:r>
    </w:p>
    <w:p w14:paraId="404B59C1" w14:textId="77777777" w:rsidR="004544A5" w:rsidRPr="007816F3" w:rsidRDefault="004544A5" w:rsidP="004215F5">
      <w:pPr>
        <w:rPr>
          <w:rFonts w:ascii="Arial" w:hAnsi="Arial" w:cs="Arial"/>
        </w:rPr>
      </w:pPr>
    </w:p>
    <w:p w14:paraId="0B257159" w14:textId="77777777" w:rsidR="00DD55F4" w:rsidRPr="007816F3" w:rsidRDefault="00DD55F4" w:rsidP="004215F5">
      <w:pPr>
        <w:jc w:val="center"/>
        <w:rPr>
          <w:rFonts w:ascii="Arial" w:hAnsi="Arial" w:cs="Arial"/>
          <w:b/>
          <w:bCs/>
        </w:rPr>
      </w:pPr>
    </w:p>
    <w:p w14:paraId="7D8F7BA4" w14:textId="41FC6F47" w:rsidR="00DD55F4" w:rsidRPr="007816F3" w:rsidRDefault="00DD55F4" w:rsidP="004215F5">
      <w:pPr>
        <w:jc w:val="center"/>
        <w:rPr>
          <w:rFonts w:ascii="Arial" w:hAnsi="Arial" w:cs="Arial"/>
          <w:b/>
          <w:bCs/>
        </w:rPr>
      </w:pPr>
      <w:r w:rsidRPr="007816F3">
        <w:rPr>
          <w:rFonts w:ascii="Arial" w:hAnsi="Arial"/>
          <w:b/>
        </w:rPr>
        <w:t>LEY</w:t>
      </w:r>
      <w:r w:rsidRPr="007816F3">
        <w:rPr>
          <w:rFonts w:ascii="Arial" w:hAnsi="Arial"/>
          <w:b/>
          <w:spacing w:val="-12"/>
        </w:rPr>
        <w:t xml:space="preserve"> </w:t>
      </w:r>
      <w:r w:rsidRPr="007816F3">
        <w:rPr>
          <w:rFonts w:ascii="Arial" w:hAnsi="Arial"/>
          <w:b/>
        </w:rPr>
        <w:t>DE</w:t>
      </w:r>
      <w:r w:rsidRPr="007816F3">
        <w:rPr>
          <w:rFonts w:ascii="Arial" w:hAnsi="Arial"/>
          <w:b/>
          <w:spacing w:val="-13"/>
        </w:rPr>
        <w:t xml:space="preserve"> </w:t>
      </w:r>
      <w:r w:rsidRPr="007816F3">
        <w:rPr>
          <w:rFonts w:ascii="Arial" w:hAnsi="Arial"/>
          <w:b/>
        </w:rPr>
        <w:t>INGRESOS</w:t>
      </w:r>
      <w:r w:rsidRPr="007816F3">
        <w:rPr>
          <w:rFonts w:ascii="Arial" w:hAnsi="Arial"/>
          <w:b/>
          <w:spacing w:val="-11"/>
        </w:rPr>
        <w:t xml:space="preserve"> </w:t>
      </w:r>
      <w:r w:rsidRPr="007816F3">
        <w:rPr>
          <w:rFonts w:ascii="Arial" w:hAnsi="Arial"/>
          <w:b/>
        </w:rPr>
        <w:t>DEL</w:t>
      </w:r>
      <w:r w:rsidRPr="007816F3">
        <w:rPr>
          <w:rFonts w:ascii="Arial" w:hAnsi="Arial"/>
          <w:b/>
          <w:spacing w:val="-13"/>
        </w:rPr>
        <w:t xml:space="preserve"> </w:t>
      </w:r>
      <w:r w:rsidRPr="007816F3">
        <w:rPr>
          <w:rFonts w:ascii="Arial" w:hAnsi="Arial"/>
          <w:b/>
        </w:rPr>
        <w:t>ESTADO</w:t>
      </w:r>
      <w:r w:rsidRPr="007816F3">
        <w:rPr>
          <w:rFonts w:ascii="Arial" w:hAnsi="Arial"/>
          <w:b/>
          <w:spacing w:val="-12"/>
        </w:rPr>
        <w:t xml:space="preserve"> </w:t>
      </w:r>
      <w:r w:rsidRPr="007816F3">
        <w:rPr>
          <w:rFonts w:ascii="Arial" w:hAnsi="Arial"/>
          <w:b/>
        </w:rPr>
        <w:t>LIBRE</w:t>
      </w:r>
      <w:r w:rsidRPr="007816F3">
        <w:rPr>
          <w:rFonts w:ascii="Arial" w:hAnsi="Arial"/>
          <w:b/>
          <w:spacing w:val="-12"/>
        </w:rPr>
        <w:t xml:space="preserve"> </w:t>
      </w:r>
      <w:r w:rsidRPr="007816F3">
        <w:rPr>
          <w:rFonts w:ascii="Arial" w:hAnsi="Arial"/>
          <w:b/>
        </w:rPr>
        <w:t>Y</w:t>
      </w:r>
      <w:r w:rsidRPr="007816F3">
        <w:rPr>
          <w:rFonts w:ascii="Arial" w:hAnsi="Arial"/>
          <w:b/>
          <w:spacing w:val="-12"/>
        </w:rPr>
        <w:t xml:space="preserve"> </w:t>
      </w:r>
      <w:r w:rsidRPr="007816F3">
        <w:rPr>
          <w:rFonts w:ascii="Arial" w:hAnsi="Arial"/>
          <w:b/>
        </w:rPr>
        <w:t>SOBERANO</w:t>
      </w:r>
      <w:r w:rsidRPr="007816F3">
        <w:rPr>
          <w:rFonts w:ascii="Arial" w:hAnsi="Arial"/>
          <w:b/>
          <w:spacing w:val="-12"/>
        </w:rPr>
        <w:t xml:space="preserve"> </w:t>
      </w:r>
      <w:r w:rsidRPr="007816F3">
        <w:rPr>
          <w:rFonts w:ascii="Arial" w:hAnsi="Arial"/>
          <w:b/>
        </w:rPr>
        <w:t>DE</w:t>
      </w:r>
      <w:r w:rsidRPr="007816F3">
        <w:rPr>
          <w:rFonts w:ascii="Arial" w:hAnsi="Arial"/>
          <w:b/>
          <w:spacing w:val="-65"/>
        </w:rPr>
        <w:t xml:space="preserve"> </w:t>
      </w:r>
      <w:r w:rsidRPr="007816F3">
        <w:rPr>
          <w:rFonts w:ascii="Arial" w:hAnsi="Arial"/>
          <w:b/>
        </w:rPr>
        <w:t>HIDALGO</w:t>
      </w:r>
      <w:r w:rsidRPr="007816F3">
        <w:rPr>
          <w:rFonts w:ascii="Arial" w:hAnsi="Arial"/>
          <w:b/>
          <w:spacing w:val="-1"/>
        </w:rPr>
        <w:t xml:space="preserve"> </w:t>
      </w:r>
      <w:r w:rsidRPr="007816F3">
        <w:rPr>
          <w:rFonts w:ascii="Arial" w:hAnsi="Arial"/>
          <w:b/>
        </w:rPr>
        <w:t>PARA EL EJERCICIO FISCAL</w:t>
      </w:r>
      <w:r w:rsidRPr="007816F3">
        <w:rPr>
          <w:rFonts w:ascii="Arial" w:hAnsi="Arial"/>
          <w:b/>
          <w:spacing w:val="-1"/>
        </w:rPr>
        <w:t xml:space="preserve"> </w:t>
      </w:r>
      <w:r w:rsidRPr="007816F3">
        <w:rPr>
          <w:rFonts w:ascii="Arial" w:hAnsi="Arial"/>
          <w:b/>
        </w:rPr>
        <w:t>DEL AÑO</w:t>
      </w:r>
      <w:r w:rsidRPr="007816F3">
        <w:rPr>
          <w:rFonts w:ascii="Arial" w:hAnsi="Arial"/>
          <w:b/>
          <w:spacing w:val="3"/>
        </w:rPr>
        <w:t xml:space="preserve"> </w:t>
      </w:r>
      <w:r w:rsidRPr="007816F3">
        <w:rPr>
          <w:rFonts w:ascii="Arial" w:hAnsi="Arial"/>
          <w:b/>
        </w:rPr>
        <w:t>2025</w:t>
      </w:r>
    </w:p>
    <w:p w14:paraId="53FA3CD4" w14:textId="77777777" w:rsidR="00DD55F4" w:rsidRPr="007816F3" w:rsidRDefault="00DD55F4" w:rsidP="004215F5">
      <w:pPr>
        <w:jc w:val="center"/>
        <w:rPr>
          <w:rFonts w:ascii="Arial" w:hAnsi="Arial" w:cs="Arial"/>
          <w:b/>
          <w:bCs/>
        </w:rPr>
      </w:pPr>
    </w:p>
    <w:p w14:paraId="3834D742" w14:textId="02CFEBA3" w:rsidR="00DD55F4" w:rsidRPr="007816F3" w:rsidRDefault="00DD55F4" w:rsidP="004215F5">
      <w:pPr>
        <w:jc w:val="center"/>
        <w:rPr>
          <w:rFonts w:ascii="Arial" w:hAnsi="Arial" w:cs="Arial"/>
          <w:b/>
          <w:bCs/>
        </w:rPr>
      </w:pPr>
      <w:r w:rsidRPr="007816F3">
        <w:rPr>
          <w:rFonts w:ascii="Arial" w:hAnsi="Arial" w:cs="Arial"/>
          <w:b/>
          <w:bCs/>
        </w:rPr>
        <w:t>CAPÍTULO PRIMERO</w:t>
      </w:r>
    </w:p>
    <w:p w14:paraId="5E32D4B1" w14:textId="77777777" w:rsidR="00DD55F4" w:rsidRPr="007816F3" w:rsidRDefault="00DD55F4" w:rsidP="004215F5">
      <w:pPr>
        <w:jc w:val="center"/>
        <w:rPr>
          <w:rFonts w:ascii="Arial" w:hAnsi="Arial" w:cs="Arial"/>
          <w:b/>
          <w:bCs/>
        </w:rPr>
      </w:pPr>
      <w:r w:rsidRPr="007816F3">
        <w:rPr>
          <w:rFonts w:ascii="Arial" w:hAnsi="Arial" w:cs="Arial"/>
          <w:b/>
          <w:bCs/>
        </w:rPr>
        <w:t>DE LOS INGRESOS DEL ESTADO</w:t>
      </w:r>
    </w:p>
    <w:p w14:paraId="5F1682B5" w14:textId="77777777" w:rsidR="00DD55F4" w:rsidRPr="007816F3" w:rsidRDefault="00DD55F4" w:rsidP="004215F5">
      <w:pPr>
        <w:rPr>
          <w:rFonts w:ascii="Arial" w:hAnsi="Arial" w:cs="Arial"/>
        </w:rPr>
      </w:pPr>
    </w:p>
    <w:p w14:paraId="115D806A" w14:textId="4695A2E1" w:rsidR="00DD55F4" w:rsidRDefault="00DD55F4" w:rsidP="004215F5">
      <w:pPr>
        <w:rPr>
          <w:rFonts w:ascii="Arial" w:hAnsi="Arial" w:cs="Arial"/>
        </w:rPr>
      </w:pPr>
      <w:r w:rsidRPr="007816F3">
        <w:rPr>
          <w:rFonts w:ascii="Arial" w:hAnsi="Arial" w:cs="Arial"/>
          <w:b/>
          <w:bCs/>
        </w:rPr>
        <w:t>Artículo 1.</w:t>
      </w:r>
      <w:r w:rsidRPr="007816F3">
        <w:rPr>
          <w:rFonts w:ascii="Arial" w:hAnsi="Arial" w:cs="Arial"/>
        </w:rPr>
        <w:t xml:space="preserve"> Para el Ejercicio Fiscal comprendido del primero de enero al treinta y uno de diciembre de 2025, se estiman ingresos para el Estado de Hidalgo, por los siguientes conceptos y cantidades:</w:t>
      </w:r>
    </w:p>
    <w:p w14:paraId="4F89E305" w14:textId="77777777" w:rsidR="00AD3F68" w:rsidRPr="00A34F46" w:rsidRDefault="00AD3F68" w:rsidP="004215F5">
      <w:pPr>
        <w:rPr>
          <w:rFonts w:ascii="Arial" w:hAnsi="Arial" w:cs="Arial"/>
        </w:rPr>
      </w:pPr>
    </w:p>
    <w:tbl>
      <w:tblPr>
        <w:tblW w:w="7513" w:type="dxa"/>
        <w:tblInd w:w="841" w:type="dxa"/>
        <w:tblCellMar>
          <w:left w:w="70" w:type="dxa"/>
          <w:right w:w="70" w:type="dxa"/>
        </w:tblCellMar>
        <w:tblLook w:val="04A0" w:firstRow="1" w:lastRow="0" w:firstColumn="1" w:lastColumn="0" w:noHBand="0" w:noVBand="1"/>
      </w:tblPr>
      <w:tblGrid>
        <w:gridCol w:w="4678"/>
        <w:gridCol w:w="2835"/>
      </w:tblGrid>
      <w:tr w:rsidR="00780D0F" w:rsidRPr="002C5F41" w14:paraId="331FE990" w14:textId="77777777" w:rsidTr="00296B6A">
        <w:trPr>
          <w:trHeight w:val="316"/>
        </w:trPr>
        <w:tc>
          <w:tcPr>
            <w:tcW w:w="4678" w:type="dxa"/>
            <w:tcBorders>
              <w:top w:val="single" w:sz="8" w:space="0" w:color="auto"/>
              <w:left w:val="single" w:sz="8" w:space="0" w:color="auto"/>
              <w:bottom w:val="single" w:sz="8" w:space="0" w:color="auto"/>
              <w:right w:val="single" w:sz="8" w:space="0" w:color="auto"/>
            </w:tcBorders>
            <w:shd w:val="clear" w:color="000000" w:fill="9D244C"/>
            <w:vAlign w:val="center"/>
            <w:hideMark/>
          </w:tcPr>
          <w:p w14:paraId="0FE28061" w14:textId="77777777" w:rsidR="00780D0F" w:rsidRPr="002C5F41" w:rsidRDefault="00780D0F" w:rsidP="004215F5">
            <w:pPr>
              <w:ind w:right="277"/>
              <w:jc w:val="center"/>
              <w:rPr>
                <w:rFonts w:ascii="Arial" w:hAnsi="Arial" w:cs="Arial"/>
                <w:b/>
                <w:bCs/>
                <w:color w:val="FFFFFF"/>
                <w:lang w:eastAsia="es-MX"/>
              </w:rPr>
            </w:pPr>
            <w:r w:rsidRPr="002C5F41">
              <w:rPr>
                <w:rFonts w:ascii="Arial" w:hAnsi="Arial" w:cs="Arial"/>
                <w:b/>
                <w:bCs/>
                <w:color w:val="FFFFFF"/>
                <w:lang w:eastAsia="es-MX"/>
              </w:rPr>
              <w:t>Rubro de ingreso</w:t>
            </w:r>
          </w:p>
        </w:tc>
        <w:tc>
          <w:tcPr>
            <w:tcW w:w="2835" w:type="dxa"/>
            <w:tcBorders>
              <w:top w:val="single" w:sz="8" w:space="0" w:color="auto"/>
              <w:left w:val="nil"/>
              <w:bottom w:val="single" w:sz="8" w:space="0" w:color="auto"/>
              <w:right w:val="single" w:sz="8" w:space="0" w:color="auto"/>
            </w:tcBorders>
            <w:shd w:val="clear" w:color="000000" w:fill="9D244C"/>
            <w:noWrap/>
            <w:vAlign w:val="center"/>
            <w:hideMark/>
          </w:tcPr>
          <w:p w14:paraId="7F63CF98" w14:textId="77777777" w:rsidR="00780D0F" w:rsidRPr="002C5F41" w:rsidRDefault="00780D0F" w:rsidP="004215F5">
            <w:pPr>
              <w:ind w:right="277"/>
              <w:jc w:val="center"/>
              <w:rPr>
                <w:rFonts w:ascii="Arial" w:hAnsi="Arial" w:cs="Arial"/>
                <w:b/>
                <w:bCs/>
                <w:color w:val="FFFFFF"/>
                <w:lang w:eastAsia="es-MX"/>
              </w:rPr>
            </w:pPr>
            <w:r w:rsidRPr="002C5F41">
              <w:rPr>
                <w:rFonts w:ascii="Arial" w:hAnsi="Arial" w:cs="Arial"/>
                <w:b/>
                <w:bCs/>
                <w:color w:val="FFFFFF"/>
                <w:lang w:eastAsia="es-MX"/>
              </w:rPr>
              <w:t>Monto estimado</w:t>
            </w:r>
          </w:p>
        </w:tc>
      </w:tr>
      <w:tr w:rsidR="00780D0F" w:rsidRPr="002C5F41" w14:paraId="3EEFD5DE"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D4C19C"/>
            <w:vAlign w:val="center"/>
            <w:hideMark/>
          </w:tcPr>
          <w:p w14:paraId="6A501027" w14:textId="77777777" w:rsidR="00780D0F" w:rsidRPr="002C5F41" w:rsidRDefault="00780D0F" w:rsidP="004215F5">
            <w:pPr>
              <w:ind w:right="277"/>
              <w:rPr>
                <w:rFonts w:ascii="Arial" w:hAnsi="Arial" w:cs="Arial"/>
                <w:b/>
                <w:color w:val="000000"/>
                <w:lang w:eastAsia="es-MX"/>
              </w:rPr>
            </w:pPr>
            <w:r w:rsidRPr="002C5F41">
              <w:rPr>
                <w:rFonts w:ascii="Arial" w:hAnsi="Arial" w:cs="Arial"/>
                <w:b/>
                <w:color w:val="000000"/>
                <w:lang w:eastAsia="es-MX"/>
              </w:rPr>
              <w:t>Impuestos</w:t>
            </w:r>
          </w:p>
        </w:tc>
        <w:tc>
          <w:tcPr>
            <w:tcW w:w="2835" w:type="dxa"/>
            <w:tcBorders>
              <w:top w:val="nil"/>
              <w:left w:val="nil"/>
              <w:bottom w:val="single" w:sz="8" w:space="0" w:color="auto"/>
              <w:right w:val="single" w:sz="8" w:space="0" w:color="auto"/>
            </w:tcBorders>
            <w:shd w:val="clear" w:color="000000" w:fill="D4C19C"/>
            <w:noWrap/>
            <w:vAlign w:val="center"/>
            <w:hideMark/>
          </w:tcPr>
          <w:p w14:paraId="1C889604" w14:textId="77777777" w:rsidR="00780D0F" w:rsidRPr="002C5F41" w:rsidRDefault="00780D0F" w:rsidP="004215F5">
            <w:pPr>
              <w:ind w:right="277"/>
              <w:jc w:val="right"/>
              <w:rPr>
                <w:rFonts w:ascii="Arial" w:hAnsi="Arial" w:cs="Arial"/>
                <w:b/>
                <w:color w:val="000000"/>
                <w:lang w:eastAsia="es-MX"/>
              </w:rPr>
            </w:pPr>
            <w:r w:rsidRPr="002C5F41">
              <w:rPr>
                <w:rFonts w:ascii="Arial" w:hAnsi="Arial" w:cs="Arial"/>
                <w:b/>
                <w:color w:val="000000"/>
                <w:lang w:eastAsia="es-MX"/>
              </w:rPr>
              <w:t>2,637,529,850.00</w:t>
            </w:r>
          </w:p>
        </w:tc>
      </w:tr>
      <w:tr w:rsidR="00780D0F" w:rsidRPr="002C5F41" w14:paraId="3315DFDB"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11EC8B41"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Impuestos Sobre los Ingresos</w:t>
            </w:r>
          </w:p>
        </w:tc>
        <w:tc>
          <w:tcPr>
            <w:tcW w:w="2835" w:type="dxa"/>
            <w:tcBorders>
              <w:top w:val="nil"/>
              <w:left w:val="nil"/>
              <w:bottom w:val="single" w:sz="8" w:space="0" w:color="auto"/>
              <w:right w:val="single" w:sz="8" w:space="0" w:color="auto"/>
            </w:tcBorders>
            <w:shd w:val="clear" w:color="000000" w:fill="EDEDED"/>
            <w:noWrap/>
            <w:vAlign w:val="center"/>
            <w:hideMark/>
          </w:tcPr>
          <w:p w14:paraId="3AA6FBC7"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3,409,463.00</w:t>
            </w:r>
          </w:p>
        </w:tc>
      </w:tr>
      <w:tr w:rsidR="00780D0F" w:rsidRPr="002C5F41" w14:paraId="6D9AD009"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93990E0"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Impuestos sobre las ganancias</w:t>
            </w:r>
          </w:p>
        </w:tc>
        <w:tc>
          <w:tcPr>
            <w:tcW w:w="2835" w:type="dxa"/>
            <w:tcBorders>
              <w:top w:val="nil"/>
              <w:left w:val="nil"/>
              <w:bottom w:val="single" w:sz="8" w:space="0" w:color="auto"/>
              <w:right w:val="single" w:sz="8" w:space="0" w:color="auto"/>
            </w:tcBorders>
            <w:shd w:val="clear" w:color="auto" w:fill="auto"/>
            <w:noWrap/>
            <w:vAlign w:val="center"/>
            <w:hideMark/>
          </w:tcPr>
          <w:p w14:paraId="6077C3AE"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3,409,463.00</w:t>
            </w:r>
          </w:p>
        </w:tc>
      </w:tr>
      <w:tr w:rsidR="00780D0F" w:rsidRPr="002C5F41" w14:paraId="25CC180A"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672BE3B3"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Impuestos Sobre el Patrimonio</w:t>
            </w:r>
          </w:p>
        </w:tc>
        <w:tc>
          <w:tcPr>
            <w:tcW w:w="2835" w:type="dxa"/>
            <w:tcBorders>
              <w:top w:val="nil"/>
              <w:left w:val="nil"/>
              <w:bottom w:val="single" w:sz="8" w:space="0" w:color="auto"/>
              <w:right w:val="single" w:sz="8" w:space="0" w:color="auto"/>
            </w:tcBorders>
            <w:shd w:val="clear" w:color="000000" w:fill="EDEDED"/>
            <w:noWrap/>
            <w:vAlign w:val="center"/>
            <w:hideMark/>
          </w:tcPr>
          <w:p w14:paraId="19CB42BD"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57,476,258.00</w:t>
            </w:r>
          </w:p>
        </w:tc>
      </w:tr>
      <w:tr w:rsidR="00780D0F" w:rsidRPr="002C5F41" w14:paraId="503584F7"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1C30722"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Impuestos sobre vehículos</w:t>
            </w:r>
          </w:p>
        </w:tc>
        <w:tc>
          <w:tcPr>
            <w:tcW w:w="2835" w:type="dxa"/>
            <w:tcBorders>
              <w:top w:val="nil"/>
              <w:left w:val="nil"/>
              <w:bottom w:val="single" w:sz="8" w:space="0" w:color="auto"/>
              <w:right w:val="single" w:sz="8" w:space="0" w:color="auto"/>
            </w:tcBorders>
            <w:shd w:val="clear" w:color="auto" w:fill="auto"/>
            <w:noWrap/>
            <w:vAlign w:val="center"/>
            <w:hideMark/>
          </w:tcPr>
          <w:p w14:paraId="51F5727A"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57,476,258.00</w:t>
            </w:r>
          </w:p>
        </w:tc>
      </w:tr>
      <w:tr w:rsidR="00780D0F" w:rsidRPr="002C5F41" w14:paraId="71E5ECEF"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303ADEFC"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lastRenderedPageBreak/>
              <w:t>Impuestos Sobre la Producción, el Consumo y las Transacciones</w:t>
            </w:r>
          </w:p>
        </w:tc>
        <w:tc>
          <w:tcPr>
            <w:tcW w:w="2835" w:type="dxa"/>
            <w:tcBorders>
              <w:top w:val="nil"/>
              <w:left w:val="nil"/>
              <w:bottom w:val="single" w:sz="8" w:space="0" w:color="auto"/>
              <w:right w:val="single" w:sz="8" w:space="0" w:color="auto"/>
            </w:tcBorders>
            <w:shd w:val="clear" w:color="000000" w:fill="EDEDED"/>
            <w:noWrap/>
            <w:vAlign w:val="center"/>
            <w:hideMark/>
          </w:tcPr>
          <w:p w14:paraId="5D89288F"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16,973,535.00</w:t>
            </w:r>
          </w:p>
        </w:tc>
      </w:tr>
      <w:tr w:rsidR="00780D0F" w:rsidRPr="002C5F41" w14:paraId="5876D94B"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1CBF77C0"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Impuestos sobre el consumo</w:t>
            </w:r>
          </w:p>
        </w:tc>
        <w:tc>
          <w:tcPr>
            <w:tcW w:w="2835" w:type="dxa"/>
            <w:tcBorders>
              <w:top w:val="nil"/>
              <w:left w:val="nil"/>
              <w:bottom w:val="single" w:sz="8" w:space="0" w:color="auto"/>
              <w:right w:val="single" w:sz="8" w:space="0" w:color="auto"/>
            </w:tcBorders>
            <w:shd w:val="clear" w:color="auto" w:fill="auto"/>
            <w:noWrap/>
            <w:vAlign w:val="center"/>
            <w:hideMark/>
          </w:tcPr>
          <w:p w14:paraId="7861BC04"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16,973,535.00</w:t>
            </w:r>
          </w:p>
        </w:tc>
      </w:tr>
      <w:tr w:rsidR="00780D0F" w:rsidRPr="002C5F41" w14:paraId="59C01A34"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27AE531"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Impuestos sobre transacciones</w:t>
            </w:r>
          </w:p>
        </w:tc>
        <w:tc>
          <w:tcPr>
            <w:tcW w:w="2835" w:type="dxa"/>
            <w:tcBorders>
              <w:top w:val="nil"/>
              <w:left w:val="nil"/>
              <w:bottom w:val="single" w:sz="8" w:space="0" w:color="auto"/>
              <w:right w:val="single" w:sz="8" w:space="0" w:color="auto"/>
            </w:tcBorders>
            <w:shd w:val="clear" w:color="auto" w:fill="auto"/>
            <w:noWrap/>
            <w:vAlign w:val="center"/>
            <w:hideMark/>
          </w:tcPr>
          <w:p w14:paraId="1FB76590"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6BCA1FA"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39BA3560"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Impuestos al Comercio Exterior</w:t>
            </w:r>
          </w:p>
        </w:tc>
        <w:tc>
          <w:tcPr>
            <w:tcW w:w="2835" w:type="dxa"/>
            <w:tcBorders>
              <w:top w:val="nil"/>
              <w:left w:val="nil"/>
              <w:bottom w:val="single" w:sz="8" w:space="0" w:color="auto"/>
              <w:right w:val="single" w:sz="8" w:space="0" w:color="auto"/>
            </w:tcBorders>
            <w:shd w:val="clear" w:color="000000" w:fill="EDEDED"/>
            <w:noWrap/>
            <w:vAlign w:val="center"/>
            <w:hideMark/>
          </w:tcPr>
          <w:p w14:paraId="379E80B6"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10CF38DD"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1D9EE830"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Impuestos Sobre Nóminas y Asimilables</w:t>
            </w:r>
          </w:p>
        </w:tc>
        <w:tc>
          <w:tcPr>
            <w:tcW w:w="2835" w:type="dxa"/>
            <w:tcBorders>
              <w:top w:val="nil"/>
              <w:left w:val="nil"/>
              <w:bottom w:val="single" w:sz="8" w:space="0" w:color="auto"/>
              <w:right w:val="single" w:sz="8" w:space="0" w:color="auto"/>
            </w:tcBorders>
            <w:shd w:val="clear" w:color="000000" w:fill="EDEDED"/>
            <w:noWrap/>
            <w:vAlign w:val="center"/>
            <w:hideMark/>
          </w:tcPr>
          <w:p w14:paraId="743E3048"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2,520,602,038.00</w:t>
            </w:r>
          </w:p>
        </w:tc>
      </w:tr>
      <w:tr w:rsidR="00780D0F" w:rsidRPr="002C5F41" w14:paraId="25F56562"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8C52FC1"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Impuestos sobre Nóminas</w:t>
            </w:r>
          </w:p>
        </w:tc>
        <w:tc>
          <w:tcPr>
            <w:tcW w:w="2835" w:type="dxa"/>
            <w:tcBorders>
              <w:top w:val="nil"/>
              <w:left w:val="nil"/>
              <w:bottom w:val="single" w:sz="8" w:space="0" w:color="auto"/>
              <w:right w:val="single" w:sz="8" w:space="0" w:color="auto"/>
            </w:tcBorders>
            <w:shd w:val="clear" w:color="auto" w:fill="auto"/>
            <w:noWrap/>
            <w:vAlign w:val="center"/>
            <w:hideMark/>
          </w:tcPr>
          <w:p w14:paraId="3FC5E52A"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2,520,602,038.00</w:t>
            </w:r>
          </w:p>
        </w:tc>
      </w:tr>
      <w:tr w:rsidR="00780D0F" w:rsidRPr="002C5F41" w14:paraId="02A65B75"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523F345F"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Impuestos Ecológicos</w:t>
            </w:r>
          </w:p>
        </w:tc>
        <w:tc>
          <w:tcPr>
            <w:tcW w:w="2835" w:type="dxa"/>
            <w:tcBorders>
              <w:top w:val="nil"/>
              <w:left w:val="nil"/>
              <w:bottom w:val="single" w:sz="8" w:space="0" w:color="auto"/>
              <w:right w:val="single" w:sz="8" w:space="0" w:color="auto"/>
            </w:tcBorders>
            <w:shd w:val="clear" w:color="000000" w:fill="EDEDED"/>
            <w:noWrap/>
            <w:vAlign w:val="center"/>
            <w:hideMark/>
          </w:tcPr>
          <w:p w14:paraId="5DC8FD32"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7242F732"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430F4762"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Impuestos Ecológicos</w:t>
            </w:r>
          </w:p>
        </w:tc>
        <w:tc>
          <w:tcPr>
            <w:tcW w:w="2835" w:type="dxa"/>
            <w:tcBorders>
              <w:top w:val="nil"/>
              <w:left w:val="nil"/>
              <w:bottom w:val="single" w:sz="8" w:space="0" w:color="auto"/>
              <w:right w:val="single" w:sz="8" w:space="0" w:color="auto"/>
            </w:tcBorders>
            <w:shd w:val="clear" w:color="auto" w:fill="auto"/>
            <w:noWrap/>
            <w:vAlign w:val="center"/>
            <w:hideMark/>
          </w:tcPr>
          <w:p w14:paraId="3C32571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408935FD"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0E123912"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Accesorios de Impuestos</w:t>
            </w:r>
          </w:p>
        </w:tc>
        <w:tc>
          <w:tcPr>
            <w:tcW w:w="2835" w:type="dxa"/>
            <w:tcBorders>
              <w:top w:val="nil"/>
              <w:left w:val="nil"/>
              <w:bottom w:val="single" w:sz="8" w:space="0" w:color="auto"/>
              <w:right w:val="single" w:sz="8" w:space="0" w:color="auto"/>
            </w:tcBorders>
            <w:shd w:val="clear" w:color="000000" w:fill="EDEDED"/>
            <w:noWrap/>
            <w:vAlign w:val="center"/>
            <w:hideMark/>
          </w:tcPr>
          <w:p w14:paraId="6C241D69"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39,068,556.00</w:t>
            </w:r>
          </w:p>
        </w:tc>
      </w:tr>
      <w:tr w:rsidR="00780D0F" w:rsidRPr="002C5F41" w14:paraId="63D4B8B3"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AE8F3AA"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Actualizaciones</w:t>
            </w:r>
          </w:p>
        </w:tc>
        <w:tc>
          <w:tcPr>
            <w:tcW w:w="2835" w:type="dxa"/>
            <w:tcBorders>
              <w:top w:val="nil"/>
              <w:left w:val="nil"/>
              <w:bottom w:val="single" w:sz="8" w:space="0" w:color="auto"/>
              <w:right w:val="single" w:sz="8" w:space="0" w:color="auto"/>
            </w:tcBorders>
            <w:shd w:val="clear" w:color="auto" w:fill="auto"/>
            <w:noWrap/>
            <w:vAlign w:val="center"/>
            <w:hideMark/>
          </w:tcPr>
          <w:p w14:paraId="05D8A8E9"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4,844,554.00</w:t>
            </w:r>
          </w:p>
        </w:tc>
      </w:tr>
      <w:tr w:rsidR="00780D0F" w:rsidRPr="002C5F41" w14:paraId="7C976490"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2BEA4DC"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Recargos</w:t>
            </w:r>
          </w:p>
        </w:tc>
        <w:tc>
          <w:tcPr>
            <w:tcW w:w="2835" w:type="dxa"/>
            <w:tcBorders>
              <w:top w:val="nil"/>
              <w:left w:val="nil"/>
              <w:bottom w:val="single" w:sz="8" w:space="0" w:color="auto"/>
              <w:right w:val="single" w:sz="8" w:space="0" w:color="auto"/>
            </w:tcBorders>
            <w:shd w:val="clear" w:color="auto" w:fill="auto"/>
            <w:noWrap/>
            <w:vAlign w:val="center"/>
            <w:hideMark/>
          </w:tcPr>
          <w:p w14:paraId="16C7731A"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26,055,187.00</w:t>
            </w:r>
          </w:p>
        </w:tc>
      </w:tr>
      <w:tr w:rsidR="00780D0F" w:rsidRPr="002C5F41" w14:paraId="7411E7C7"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6F9EA63"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Multas</w:t>
            </w:r>
          </w:p>
        </w:tc>
        <w:tc>
          <w:tcPr>
            <w:tcW w:w="2835" w:type="dxa"/>
            <w:tcBorders>
              <w:top w:val="nil"/>
              <w:left w:val="nil"/>
              <w:bottom w:val="single" w:sz="8" w:space="0" w:color="auto"/>
              <w:right w:val="single" w:sz="8" w:space="0" w:color="auto"/>
            </w:tcBorders>
            <w:shd w:val="clear" w:color="auto" w:fill="auto"/>
            <w:noWrap/>
            <w:vAlign w:val="center"/>
            <w:hideMark/>
          </w:tcPr>
          <w:p w14:paraId="4CA1BE64"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7,957,765.00</w:t>
            </w:r>
          </w:p>
        </w:tc>
      </w:tr>
      <w:tr w:rsidR="00780D0F" w:rsidRPr="002C5F41" w14:paraId="09308FD1"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DF5BB3F"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Gastos de Ejecución</w:t>
            </w:r>
          </w:p>
        </w:tc>
        <w:tc>
          <w:tcPr>
            <w:tcW w:w="2835" w:type="dxa"/>
            <w:tcBorders>
              <w:top w:val="nil"/>
              <w:left w:val="nil"/>
              <w:bottom w:val="single" w:sz="8" w:space="0" w:color="auto"/>
              <w:right w:val="single" w:sz="8" w:space="0" w:color="auto"/>
            </w:tcBorders>
            <w:shd w:val="clear" w:color="auto" w:fill="auto"/>
            <w:noWrap/>
            <w:vAlign w:val="center"/>
            <w:hideMark/>
          </w:tcPr>
          <w:p w14:paraId="071D46C4"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211,050.00</w:t>
            </w:r>
          </w:p>
        </w:tc>
      </w:tr>
      <w:tr w:rsidR="00780D0F" w:rsidRPr="002C5F41" w14:paraId="3A48F7F5"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270A0AC3"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Otros Impuestos</w:t>
            </w:r>
          </w:p>
        </w:tc>
        <w:tc>
          <w:tcPr>
            <w:tcW w:w="2835" w:type="dxa"/>
            <w:tcBorders>
              <w:top w:val="nil"/>
              <w:left w:val="nil"/>
              <w:bottom w:val="single" w:sz="8" w:space="0" w:color="auto"/>
              <w:right w:val="single" w:sz="8" w:space="0" w:color="auto"/>
            </w:tcBorders>
            <w:shd w:val="clear" w:color="000000" w:fill="EDEDED"/>
            <w:noWrap/>
            <w:vAlign w:val="center"/>
            <w:hideMark/>
          </w:tcPr>
          <w:p w14:paraId="474B9968"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1AE29871" w14:textId="77777777" w:rsidTr="00296B6A">
        <w:trPr>
          <w:trHeight w:val="527"/>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1C5D4F4B"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Impuestos no Comprendidos en La Ley de Ingresos Vigente, Causados en Ejercicios Fiscales Anteriores Pendientes de Liquidación o Pago</w:t>
            </w:r>
          </w:p>
        </w:tc>
        <w:tc>
          <w:tcPr>
            <w:tcW w:w="2835" w:type="dxa"/>
            <w:tcBorders>
              <w:top w:val="nil"/>
              <w:left w:val="nil"/>
              <w:bottom w:val="single" w:sz="8" w:space="0" w:color="auto"/>
              <w:right w:val="single" w:sz="8" w:space="0" w:color="auto"/>
            </w:tcBorders>
            <w:shd w:val="clear" w:color="000000" w:fill="EDEDED"/>
            <w:noWrap/>
            <w:vAlign w:val="center"/>
            <w:hideMark/>
          </w:tcPr>
          <w:p w14:paraId="42B7A93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0A9DD1AD" w14:textId="77777777" w:rsidTr="00296B6A">
        <w:trPr>
          <w:trHeight w:val="527"/>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1FEE026"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 xml:space="preserve">Impuesto adicional para la construcción de carreteras, sostenimiento de la asistencia pública y del hospital del niño </w:t>
            </w:r>
            <w:proofErr w:type="spellStart"/>
            <w:r w:rsidRPr="002C5F41">
              <w:rPr>
                <w:rFonts w:ascii="Arial" w:hAnsi="Arial" w:cs="Arial"/>
                <w:color w:val="000000"/>
                <w:lang w:eastAsia="es-MX"/>
              </w:rPr>
              <w:t>D.I.F</w:t>
            </w:r>
            <w:proofErr w:type="spellEnd"/>
            <w:r w:rsidRPr="002C5F41">
              <w:rPr>
                <w:rFonts w:ascii="Arial" w:hAnsi="Arial" w:cs="Arial"/>
                <w:color w:val="000000"/>
                <w:lang w:eastAsia="es-MX"/>
              </w:rPr>
              <w:t>. del Estado (Ejercicios Anteriores)</w:t>
            </w:r>
          </w:p>
        </w:tc>
        <w:tc>
          <w:tcPr>
            <w:tcW w:w="2835" w:type="dxa"/>
            <w:tcBorders>
              <w:top w:val="nil"/>
              <w:left w:val="nil"/>
              <w:bottom w:val="single" w:sz="8" w:space="0" w:color="auto"/>
              <w:right w:val="single" w:sz="8" w:space="0" w:color="auto"/>
            </w:tcBorders>
            <w:shd w:val="clear" w:color="auto" w:fill="auto"/>
            <w:noWrap/>
            <w:vAlign w:val="center"/>
            <w:hideMark/>
          </w:tcPr>
          <w:p w14:paraId="29E9D504"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21EFFE67"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D4C19C"/>
            <w:vAlign w:val="center"/>
            <w:hideMark/>
          </w:tcPr>
          <w:p w14:paraId="63818E72" w14:textId="77777777" w:rsidR="00780D0F" w:rsidRPr="002C5F41" w:rsidRDefault="00780D0F" w:rsidP="004215F5">
            <w:pPr>
              <w:ind w:right="277"/>
              <w:rPr>
                <w:rFonts w:ascii="Arial" w:hAnsi="Arial" w:cs="Arial"/>
                <w:b/>
                <w:color w:val="000000"/>
                <w:lang w:eastAsia="es-MX"/>
              </w:rPr>
            </w:pPr>
            <w:r w:rsidRPr="002C5F41">
              <w:rPr>
                <w:rFonts w:ascii="Arial" w:hAnsi="Arial" w:cs="Arial"/>
                <w:b/>
                <w:color w:val="000000"/>
                <w:lang w:eastAsia="es-MX"/>
              </w:rPr>
              <w:t>Cuotas y Aportaciones de Seguridad Social</w:t>
            </w:r>
          </w:p>
        </w:tc>
        <w:tc>
          <w:tcPr>
            <w:tcW w:w="2835" w:type="dxa"/>
            <w:tcBorders>
              <w:top w:val="nil"/>
              <w:left w:val="nil"/>
              <w:bottom w:val="single" w:sz="8" w:space="0" w:color="auto"/>
              <w:right w:val="single" w:sz="8" w:space="0" w:color="auto"/>
            </w:tcBorders>
            <w:shd w:val="clear" w:color="000000" w:fill="D4C19C"/>
            <w:noWrap/>
            <w:vAlign w:val="center"/>
            <w:hideMark/>
          </w:tcPr>
          <w:p w14:paraId="7C4298E2" w14:textId="77777777" w:rsidR="00780D0F" w:rsidRPr="002C5F41" w:rsidRDefault="00780D0F" w:rsidP="004215F5">
            <w:pPr>
              <w:ind w:right="277"/>
              <w:jc w:val="right"/>
              <w:rPr>
                <w:rFonts w:ascii="Arial" w:hAnsi="Arial" w:cs="Arial"/>
                <w:b/>
                <w:color w:val="000000"/>
                <w:lang w:eastAsia="es-MX"/>
              </w:rPr>
            </w:pPr>
            <w:r w:rsidRPr="002C5F41">
              <w:rPr>
                <w:rFonts w:ascii="Arial" w:hAnsi="Arial" w:cs="Arial"/>
                <w:b/>
                <w:color w:val="000000"/>
                <w:lang w:eastAsia="es-MX"/>
              </w:rPr>
              <w:t>0</w:t>
            </w:r>
          </w:p>
        </w:tc>
      </w:tr>
      <w:tr w:rsidR="00780D0F" w:rsidRPr="002C5F41" w14:paraId="7F7CAA70"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0EFF8944"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Aportaciones para Fondos de Vivienda</w:t>
            </w:r>
          </w:p>
        </w:tc>
        <w:tc>
          <w:tcPr>
            <w:tcW w:w="2835" w:type="dxa"/>
            <w:tcBorders>
              <w:top w:val="nil"/>
              <w:left w:val="nil"/>
              <w:bottom w:val="single" w:sz="8" w:space="0" w:color="auto"/>
              <w:right w:val="single" w:sz="8" w:space="0" w:color="auto"/>
            </w:tcBorders>
            <w:shd w:val="clear" w:color="000000" w:fill="EDEDED"/>
            <w:noWrap/>
            <w:vAlign w:val="center"/>
            <w:hideMark/>
          </w:tcPr>
          <w:p w14:paraId="7C41B2FE"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C586E6D"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6CA387BE"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Cuotas para la Seguridad Social</w:t>
            </w:r>
          </w:p>
        </w:tc>
        <w:tc>
          <w:tcPr>
            <w:tcW w:w="2835" w:type="dxa"/>
            <w:tcBorders>
              <w:top w:val="nil"/>
              <w:left w:val="nil"/>
              <w:bottom w:val="single" w:sz="8" w:space="0" w:color="auto"/>
              <w:right w:val="single" w:sz="8" w:space="0" w:color="auto"/>
            </w:tcBorders>
            <w:shd w:val="clear" w:color="000000" w:fill="EDEDED"/>
            <w:noWrap/>
            <w:vAlign w:val="center"/>
            <w:hideMark/>
          </w:tcPr>
          <w:p w14:paraId="589B640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7EE12795"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4791334C"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Cuotas de Ahorro para el Retiro</w:t>
            </w:r>
          </w:p>
        </w:tc>
        <w:tc>
          <w:tcPr>
            <w:tcW w:w="2835" w:type="dxa"/>
            <w:tcBorders>
              <w:top w:val="nil"/>
              <w:left w:val="nil"/>
              <w:bottom w:val="single" w:sz="8" w:space="0" w:color="auto"/>
              <w:right w:val="single" w:sz="8" w:space="0" w:color="auto"/>
            </w:tcBorders>
            <w:shd w:val="clear" w:color="000000" w:fill="EDEDED"/>
            <w:noWrap/>
            <w:vAlign w:val="center"/>
            <w:hideMark/>
          </w:tcPr>
          <w:p w14:paraId="2869D370"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6A431741"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1EB86C4D"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Otras Cuotas y Aportaciones para la Seguridad Social</w:t>
            </w:r>
          </w:p>
        </w:tc>
        <w:tc>
          <w:tcPr>
            <w:tcW w:w="2835" w:type="dxa"/>
            <w:tcBorders>
              <w:top w:val="nil"/>
              <w:left w:val="nil"/>
              <w:bottom w:val="single" w:sz="8" w:space="0" w:color="auto"/>
              <w:right w:val="single" w:sz="8" w:space="0" w:color="auto"/>
            </w:tcBorders>
            <w:shd w:val="clear" w:color="000000" w:fill="EDEDED"/>
            <w:noWrap/>
            <w:vAlign w:val="center"/>
            <w:hideMark/>
          </w:tcPr>
          <w:p w14:paraId="241F927A"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1D9CB7D5"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2ADFF6A6"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Accesorios de Cuotas y Aportaciones de Seguridad Social</w:t>
            </w:r>
          </w:p>
        </w:tc>
        <w:tc>
          <w:tcPr>
            <w:tcW w:w="2835" w:type="dxa"/>
            <w:tcBorders>
              <w:top w:val="nil"/>
              <w:left w:val="nil"/>
              <w:bottom w:val="single" w:sz="8" w:space="0" w:color="auto"/>
              <w:right w:val="single" w:sz="8" w:space="0" w:color="auto"/>
            </w:tcBorders>
            <w:shd w:val="clear" w:color="000000" w:fill="EDEDED"/>
            <w:noWrap/>
            <w:vAlign w:val="center"/>
            <w:hideMark/>
          </w:tcPr>
          <w:p w14:paraId="6D06169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0839A70D" w14:textId="77777777" w:rsidTr="00780D0F">
        <w:trPr>
          <w:trHeight w:val="316"/>
        </w:trPr>
        <w:tc>
          <w:tcPr>
            <w:tcW w:w="4678" w:type="dxa"/>
            <w:tcBorders>
              <w:top w:val="nil"/>
              <w:left w:val="single" w:sz="8" w:space="0" w:color="auto"/>
              <w:bottom w:val="single" w:sz="4" w:space="0" w:color="auto"/>
              <w:right w:val="single" w:sz="8" w:space="0" w:color="auto"/>
            </w:tcBorders>
            <w:shd w:val="clear" w:color="000000" w:fill="D4C19C"/>
            <w:vAlign w:val="center"/>
            <w:hideMark/>
          </w:tcPr>
          <w:p w14:paraId="2045234C" w14:textId="77777777" w:rsidR="00780D0F" w:rsidRPr="002C5F41" w:rsidRDefault="00780D0F" w:rsidP="004215F5">
            <w:pPr>
              <w:ind w:right="277"/>
              <w:rPr>
                <w:rFonts w:ascii="Arial" w:hAnsi="Arial" w:cs="Arial"/>
                <w:b/>
                <w:color w:val="000000"/>
                <w:lang w:eastAsia="es-MX"/>
              </w:rPr>
            </w:pPr>
            <w:r w:rsidRPr="002C5F41">
              <w:rPr>
                <w:rFonts w:ascii="Arial" w:hAnsi="Arial" w:cs="Arial"/>
                <w:b/>
                <w:color w:val="000000"/>
                <w:lang w:eastAsia="es-MX"/>
              </w:rPr>
              <w:t>Contribuciones de Mejoras</w:t>
            </w:r>
          </w:p>
        </w:tc>
        <w:tc>
          <w:tcPr>
            <w:tcW w:w="2835" w:type="dxa"/>
            <w:tcBorders>
              <w:top w:val="nil"/>
              <w:left w:val="nil"/>
              <w:bottom w:val="single" w:sz="4" w:space="0" w:color="auto"/>
              <w:right w:val="single" w:sz="8" w:space="0" w:color="auto"/>
            </w:tcBorders>
            <w:shd w:val="clear" w:color="000000" w:fill="D4C19C"/>
            <w:noWrap/>
            <w:vAlign w:val="center"/>
            <w:hideMark/>
          </w:tcPr>
          <w:p w14:paraId="1767E7F0" w14:textId="77777777" w:rsidR="00780D0F" w:rsidRPr="002C5F41" w:rsidRDefault="00780D0F" w:rsidP="004215F5">
            <w:pPr>
              <w:ind w:right="277"/>
              <w:jc w:val="right"/>
              <w:rPr>
                <w:rFonts w:ascii="Arial" w:hAnsi="Arial" w:cs="Arial"/>
                <w:b/>
                <w:color w:val="000000"/>
                <w:lang w:eastAsia="es-MX"/>
              </w:rPr>
            </w:pPr>
            <w:r w:rsidRPr="002C5F41">
              <w:rPr>
                <w:rFonts w:ascii="Arial" w:hAnsi="Arial" w:cs="Arial"/>
                <w:b/>
                <w:color w:val="000000"/>
                <w:lang w:eastAsia="es-MX"/>
              </w:rPr>
              <w:t>30,446,979.00</w:t>
            </w:r>
          </w:p>
        </w:tc>
      </w:tr>
      <w:tr w:rsidR="00780D0F" w:rsidRPr="002C5F41" w14:paraId="4C80A6F6" w14:textId="77777777" w:rsidTr="00780D0F">
        <w:trPr>
          <w:trHeight w:val="316"/>
        </w:trPr>
        <w:tc>
          <w:tcPr>
            <w:tcW w:w="4678" w:type="dxa"/>
            <w:tcBorders>
              <w:top w:val="single" w:sz="4" w:space="0" w:color="auto"/>
              <w:left w:val="single" w:sz="8" w:space="0" w:color="auto"/>
              <w:bottom w:val="single" w:sz="8" w:space="0" w:color="auto"/>
              <w:right w:val="single" w:sz="8" w:space="0" w:color="auto"/>
            </w:tcBorders>
            <w:shd w:val="clear" w:color="000000" w:fill="EDEDED"/>
            <w:vAlign w:val="center"/>
            <w:hideMark/>
          </w:tcPr>
          <w:p w14:paraId="26CA4E6E"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Contribuciones de Mejoras por Obras Públicas</w:t>
            </w:r>
          </w:p>
        </w:tc>
        <w:tc>
          <w:tcPr>
            <w:tcW w:w="2835" w:type="dxa"/>
            <w:tcBorders>
              <w:top w:val="single" w:sz="4" w:space="0" w:color="auto"/>
              <w:left w:val="nil"/>
              <w:bottom w:val="single" w:sz="8" w:space="0" w:color="auto"/>
              <w:right w:val="single" w:sz="8" w:space="0" w:color="auto"/>
            </w:tcBorders>
            <w:shd w:val="clear" w:color="000000" w:fill="EDEDED"/>
            <w:noWrap/>
            <w:vAlign w:val="center"/>
            <w:hideMark/>
          </w:tcPr>
          <w:p w14:paraId="3A2F87FC"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30,446,979.00</w:t>
            </w:r>
          </w:p>
        </w:tc>
      </w:tr>
      <w:tr w:rsidR="00780D0F" w:rsidRPr="002C5F41" w14:paraId="072CE9D6"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E92121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Contribución por obras</w:t>
            </w:r>
          </w:p>
        </w:tc>
        <w:tc>
          <w:tcPr>
            <w:tcW w:w="2835" w:type="dxa"/>
            <w:tcBorders>
              <w:top w:val="nil"/>
              <w:left w:val="nil"/>
              <w:bottom w:val="single" w:sz="8" w:space="0" w:color="auto"/>
              <w:right w:val="single" w:sz="8" w:space="0" w:color="auto"/>
            </w:tcBorders>
            <w:shd w:val="clear" w:color="auto" w:fill="auto"/>
            <w:noWrap/>
            <w:vAlign w:val="center"/>
            <w:hideMark/>
          </w:tcPr>
          <w:p w14:paraId="44CCFDAF"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30,446,979.00</w:t>
            </w:r>
          </w:p>
        </w:tc>
      </w:tr>
      <w:tr w:rsidR="00780D0F" w:rsidRPr="002C5F41" w14:paraId="70B14762" w14:textId="77777777" w:rsidTr="00296B6A">
        <w:trPr>
          <w:trHeight w:val="527"/>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61136040"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Contribuciones de Mejoras no Comprendidas en la Ley de Ingresos Vigente, Causadas en Ejercicios Fiscales Anteriores Pendientes de Liquidación o Pago</w:t>
            </w:r>
          </w:p>
        </w:tc>
        <w:tc>
          <w:tcPr>
            <w:tcW w:w="2835" w:type="dxa"/>
            <w:tcBorders>
              <w:top w:val="nil"/>
              <w:left w:val="nil"/>
              <w:bottom w:val="single" w:sz="8" w:space="0" w:color="auto"/>
              <w:right w:val="single" w:sz="8" w:space="0" w:color="auto"/>
            </w:tcBorders>
            <w:shd w:val="clear" w:color="000000" w:fill="EDEDED"/>
            <w:noWrap/>
            <w:vAlign w:val="center"/>
            <w:hideMark/>
          </w:tcPr>
          <w:p w14:paraId="3F606937"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4B488829"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D4C19C"/>
            <w:vAlign w:val="center"/>
            <w:hideMark/>
          </w:tcPr>
          <w:p w14:paraId="5C0C63B9" w14:textId="77777777" w:rsidR="00780D0F" w:rsidRPr="002C5F41" w:rsidRDefault="00780D0F" w:rsidP="004215F5">
            <w:pPr>
              <w:ind w:right="277"/>
              <w:rPr>
                <w:rFonts w:ascii="Arial" w:hAnsi="Arial" w:cs="Arial"/>
                <w:b/>
                <w:color w:val="000000"/>
                <w:lang w:eastAsia="es-MX"/>
              </w:rPr>
            </w:pPr>
            <w:r w:rsidRPr="002C5F41">
              <w:rPr>
                <w:rFonts w:ascii="Arial" w:hAnsi="Arial" w:cs="Arial"/>
                <w:b/>
                <w:color w:val="000000"/>
                <w:lang w:eastAsia="es-MX"/>
              </w:rPr>
              <w:t>Derechos</w:t>
            </w:r>
          </w:p>
        </w:tc>
        <w:tc>
          <w:tcPr>
            <w:tcW w:w="2835" w:type="dxa"/>
            <w:tcBorders>
              <w:top w:val="nil"/>
              <w:left w:val="nil"/>
              <w:bottom w:val="single" w:sz="8" w:space="0" w:color="auto"/>
              <w:right w:val="single" w:sz="8" w:space="0" w:color="auto"/>
            </w:tcBorders>
            <w:shd w:val="clear" w:color="000000" w:fill="D4C19C"/>
            <w:noWrap/>
            <w:vAlign w:val="center"/>
            <w:hideMark/>
          </w:tcPr>
          <w:p w14:paraId="625AAA6A" w14:textId="77777777" w:rsidR="00780D0F" w:rsidRPr="002C5F41" w:rsidRDefault="00780D0F" w:rsidP="004215F5">
            <w:pPr>
              <w:ind w:right="277"/>
              <w:jc w:val="right"/>
              <w:rPr>
                <w:rFonts w:ascii="Arial" w:hAnsi="Arial" w:cs="Arial"/>
                <w:b/>
                <w:color w:val="000000"/>
                <w:lang w:eastAsia="es-MX"/>
              </w:rPr>
            </w:pPr>
            <w:r w:rsidRPr="002C5F41">
              <w:rPr>
                <w:rFonts w:ascii="Arial" w:hAnsi="Arial" w:cs="Arial"/>
                <w:b/>
                <w:color w:val="000000"/>
                <w:lang w:eastAsia="es-MX"/>
              </w:rPr>
              <w:t>1,427,593,516.00</w:t>
            </w:r>
          </w:p>
        </w:tc>
      </w:tr>
      <w:tr w:rsidR="00780D0F" w:rsidRPr="002C5F41" w14:paraId="70B545E6" w14:textId="77777777" w:rsidTr="00296B6A">
        <w:trPr>
          <w:trHeight w:val="527"/>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389C7D10"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Derechos por el Uso, Goce, Aprovechamiento o Explotación de Bienes de Dominio Público</w:t>
            </w:r>
          </w:p>
        </w:tc>
        <w:tc>
          <w:tcPr>
            <w:tcW w:w="2835" w:type="dxa"/>
            <w:tcBorders>
              <w:top w:val="nil"/>
              <w:left w:val="nil"/>
              <w:bottom w:val="single" w:sz="8" w:space="0" w:color="auto"/>
              <w:right w:val="single" w:sz="8" w:space="0" w:color="auto"/>
            </w:tcBorders>
            <w:shd w:val="clear" w:color="000000" w:fill="EDEDED"/>
            <w:noWrap/>
            <w:vAlign w:val="center"/>
            <w:hideMark/>
          </w:tcPr>
          <w:p w14:paraId="6676A56D"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7,160,268.00</w:t>
            </w:r>
          </w:p>
        </w:tc>
      </w:tr>
      <w:tr w:rsidR="00780D0F" w:rsidRPr="002C5F41" w14:paraId="7870C2FC"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54779B2"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Vacante</w:t>
            </w:r>
          </w:p>
        </w:tc>
        <w:tc>
          <w:tcPr>
            <w:tcW w:w="2835" w:type="dxa"/>
            <w:tcBorders>
              <w:top w:val="nil"/>
              <w:left w:val="nil"/>
              <w:bottom w:val="single" w:sz="8" w:space="0" w:color="auto"/>
              <w:right w:val="single" w:sz="8" w:space="0" w:color="auto"/>
            </w:tcBorders>
            <w:shd w:val="clear" w:color="auto" w:fill="auto"/>
            <w:noWrap/>
            <w:vAlign w:val="center"/>
            <w:hideMark/>
          </w:tcPr>
          <w:p w14:paraId="5214864B"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67293F17"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18F5324A"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Uso de bienes del dominio público</w:t>
            </w:r>
          </w:p>
        </w:tc>
        <w:tc>
          <w:tcPr>
            <w:tcW w:w="2835" w:type="dxa"/>
            <w:tcBorders>
              <w:top w:val="nil"/>
              <w:left w:val="nil"/>
              <w:bottom w:val="single" w:sz="8" w:space="0" w:color="auto"/>
              <w:right w:val="single" w:sz="8" w:space="0" w:color="auto"/>
            </w:tcBorders>
            <w:shd w:val="clear" w:color="auto" w:fill="auto"/>
            <w:noWrap/>
            <w:vAlign w:val="center"/>
            <w:hideMark/>
          </w:tcPr>
          <w:p w14:paraId="1196F45D"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7,160,268.00</w:t>
            </w:r>
          </w:p>
        </w:tc>
      </w:tr>
      <w:tr w:rsidR="00780D0F" w:rsidRPr="002C5F41" w14:paraId="1262D1CF"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3466551C"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Derechos por Prestación de Servicios</w:t>
            </w:r>
          </w:p>
        </w:tc>
        <w:tc>
          <w:tcPr>
            <w:tcW w:w="2835" w:type="dxa"/>
            <w:tcBorders>
              <w:top w:val="nil"/>
              <w:left w:val="nil"/>
              <w:bottom w:val="single" w:sz="8" w:space="0" w:color="auto"/>
              <w:right w:val="single" w:sz="8" w:space="0" w:color="auto"/>
            </w:tcBorders>
            <w:shd w:val="clear" w:color="000000" w:fill="EDEDED"/>
            <w:noWrap/>
            <w:vAlign w:val="center"/>
            <w:hideMark/>
          </w:tcPr>
          <w:p w14:paraId="54DBE165"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1,406,430,310.00</w:t>
            </w:r>
          </w:p>
        </w:tc>
      </w:tr>
      <w:tr w:rsidR="00780D0F" w:rsidRPr="002C5F41" w14:paraId="4ABA9D07"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417BE2C"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lastRenderedPageBreak/>
              <w:t>Derechos de servicios públicos</w:t>
            </w:r>
          </w:p>
        </w:tc>
        <w:tc>
          <w:tcPr>
            <w:tcW w:w="2835" w:type="dxa"/>
            <w:tcBorders>
              <w:top w:val="nil"/>
              <w:left w:val="nil"/>
              <w:bottom w:val="single" w:sz="8" w:space="0" w:color="auto"/>
              <w:right w:val="single" w:sz="8" w:space="0" w:color="auto"/>
            </w:tcBorders>
            <w:shd w:val="clear" w:color="auto" w:fill="auto"/>
            <w:noWrap/>
            <w:vAlign w:val="center"/>
            <w:hideMark/>
          </w:tcPr>
          <w:p w14:paraId="4DE7A53B"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271,789,175.00</w:t>
            </w:r>
          </w:p>
        </w:tc>
      </w:tr>
      <w:tr w:rsidR="00780D0F" w:rsidRPr="002C5F41" w14:paraId="3B6D28D9"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426F22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Derechos por registro y traspaso</w:t>
            </w:r>
          </w:p>
        </w:tc>
        <w:tc>
          <w:tcPr>
            <w:tcW w:w="2835" w:type="dxa"/>
            <w:tcBorders>
              <w:top w:val="nil"/>
              <w:left w:val="nil"/>
              <w:bottom w:val="single" w:sz="8" w:space="0" w:color="auto"/>
              <w:right w:val="single" w:sz="8" w:space="0" w:color="auto"/>
            </w:tcBorders>
            <w:shd w:val="clear" w:color="auto" w:fill="auto"/>
            <w:noWrap/>
            <w:vAlign w:val="center"/>
            <w:hideMark/>
          </w:tcPr>
          <w:p w14:paraId="1524AF7E"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1,021,776,375.00</w:t>
            </w:r>
          </w:p>
        </w:tc>
      </w:tr>
      <w:tr w:rsidR="00780D0F" w:rsidRPr="002C5F41" w14:paraId="0DE3867A"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5C4EFE3"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Derechos por autorizaciones y licencias</w:t>
            </w:r>
          </w:p>
        </w:tc>
        <w:tc>
          <w:tcPr>
            <w:tcW w:w="2835" w:type="dxa"/>
            <w:tcBorders>
              <w:top w:val="nil"/>
              <w:left w:val="nil"/>
              <w:bottom w:val="single" w:sz="8" w:space="0" w:color="auto"/>
              <w:right w:val="single" w:sz="8" w:space="0" w:color="auto"/>
            </w:tcBorders>
            <w:shd w:val="clear" w:color="auto" w:fill="auto"/>
            <w:noWrap/>
            <w:vAlign w:val="center"/>
            <w:hideMark/>
          </w:tcPr>
          <w:p w14:paraId="4F33B640"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13,655,691.00</w:t>
            </w:r>
          </w:p>
        </w:tc>
      </w:tr>
      <w:tr w:rsidR="00780D0F" w:rsidRPr="002C5F41" w14:paraId="6C15F7E1"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CAAA5E6"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Publicaciones, certificaciones y legalizaciones</w:t>
            </w:r>
          </w:p>
        </w:tc>
        <w:tc>
          <w:tcPr>
            <w:tcW w:w="2835" w:type="dxa"/>
            <w:tcBorders>
              <w:top w:val="nil"/>
              <w:left w:val="nil"/>
              <w:bottom w:val="single" w:sz="8" w:space="0" w:color="auto"/>
              <w:right w:val="single" w:sz="8" w:space="0" w:color="auto"/>
            </w:tcBorders>
            <w:shd w:val="clear" w:color="auto" w:fill="auto"/>
            <w:noWrap/>
            <w:vAlign w:val="center"/>
            <w:hideMark/>
          </w:tcPr>
          <w:p w14:paraId="69AB4F8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28,993,475.00</w:t>
            </w:r>
          </w:p>
        </w:tc>
      </w:tr>
      <w:tr w:rsidR="00780D0F" w:rsidRPr="002C5F41" w14:paraId="528DBFE0"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1D361C9"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Verificaciones, supervisiones y avalúos</w:t>
            </w:r>
          </w:p>
        </w:tc>
        <w:tc>
          <w:tcPr>
            <w:tcW w:w="2835" w:type="dxa"/>
            <w:tcBorders>
              <w:top w:val="nil"/>
              <w:left w:val="nil"/>
              <w:bottom w:val="single" w:sz="8" w:space="0" w:color="auto"/>
              <w:right w:val="single" w:sz="8" w:space="0" w:color="auto"/>
            </w:tcBorders>
            <w:shd w:val="clear" w:color="auto" w:fill="auto"/>
            <w:noWrap/>
            <w:vAlign w:val="center"/>
            <w:hideMark/>
          </w:tcPr>
          <w:p w14:paraId="455B16FD"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35,961,460.00</w:t>
            </w:r>
          </w:p>
        </w:tc>
      </w:tr>
      <w:tr w:rsidR="00780D0F" w:rsidRPr="002C5F41" w14:paraId="111C2F49"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306D7A8"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Expedición de constancias e información</w:t>
            </w:r>
          </w:p>
        </w:tc>
        <w:tc>
          <w:tcPr>
            <w:tcW w:w="2835" w:type="dxa"/>
            <w:tcBorders>
              <w:top w:val="nil"/>
              <w:left w:val="nil"/>
              <w:bottom w:val="single" w:sz="8" w:space="0" w:color="auto"/>
              <w:right w:val="single" w:sz="8" w:space="0" w:color="auto"/>
            </w:tcBorders>
            <w:shd w:val="clear" w:color="auto" w:fill="auto"/>
            <w:noWrap/>
            <w:vAlign w:val="center"/>
            <w:hideMark/>
          </w:tcPr>
          <w:p w14:paraId="588C155B"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19,792,349.00</w:t>
            </w:r>
          </w:p>
        </w:tc>
      </w:tr>
      <w:tr w:rsidR="00780D0F" w:rsidRPr="002C5F41" w14:paraId="0CD03024"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14EB43A"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Inscripciones, Exámenes, Capacitación y Material Didáctico</w:t>
            </w:r>
          </w:p>
        </w:tc>
        <w:tc>
          <w:tcPr>
            <w:tcW w:w="2835" w:type="dxa"/>
            <w:tcBorders>
              <w:top w:val="nil"/>
              <w:left w:val="nil"/>
              <w:bottom w:val="single" w:sz="8" w:space="0" w:color="auto"/>
              <w:right w:val="single" w:sz="8" w:space="0" w:color="auto"/>
            </w:tcBorders>
            <w:shd w:val="clear" w:color="auto" w:fill="auto"/>
            <w:noWrap/>
            <w:vAlign w:val="center"/>
            <w:hideMark/>
          </w:tcPr>
          <w:p w14:paraId="4364CB18"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14,461,785.00</w:t>
            </w:r>
          </w:p>
        </w:tc>
      </w:tr>
      <w:tr w:rsidR="00780D0F" w:rsidRPr="002C5F41" w14:paraId="733E40CF"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29D37A8B"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Otros Derechos</w:t>
            </w:r>
          </w:p>
        </w:tc>
        <w:tc>
          <w:tcPr>
            <w:tcW w:w="2835" w:type="dxa"/>
            <w:tcBorders>
              <w:top w:val="nil"/>
              <w:left w:val="nil"/>
              <w:bottom w:val="single" w:sz="8" w:space="0" w:color="auto"/>
              <w:right w:val="single" w:sz="8" w:space="0" w:color="auto"/>
            </w:tcBorders>
            <w:shd w:val="clear" w:color="000000" w:fill="EDEDED"/>
            <w:noWrap/>
            <w:vAlign w:val="center"/>
            <w:hideMark/>
          </w:tcPr>
          <w:p w14:paraId="3110F97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6A4DA8D4"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6494075"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Pago de otros derechos</w:t>
            </w:r>
          </w:p>
        </w:tc>
        <w:tc>
          <w:tcPr>
            <w:tcW w:w="2835" w:type="dxa"/>
            <w:tcBorders>
              <w:top w:val="nil"/>
              <w:left w:val="nil"/>
              <w:bottom w:val="single" w:sz="8" w:space="0" w:color="auto"/>
              <w:right w:val="single" w:sz="8" w:space="0" w:color="auto"/>
            </w:tcBorders>
            <w:shd w:val="clear" w:color="auto" w:fill="auto"/>
            <w:noWrap/>
            <w:vAlign w:val="center"/>
            <w:hideMark/>
          </w:tcPr>
          <w:p w14:paraId="333A9AB4"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1D6E70E8"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4052CB1F"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Accesorios de Derecho</w:t>
            </w:r>
          </w:p>
        </w:tc>
        <w:tc>
          <w:tcPr>
            <w:tcW w:w="2835" w:type="dxa"/>
            <w:tcBorders>
              <w:top w:val="nil"/>
              <w:left w:val="nil"/>
              <w:bottom w:val="single" w:sz="8" w:space="0" w:color="auto"/>
              <w:right w:val="single" w:sz="8" w:space="0" w:color="auto"/>
            </w:tcBorders>
            <w:shd w:val="clear" w:color="000000" w:fill="EDEDED"/>
            <w:noWrap/>
            <w:vAlign w:val="center"/>
            <w:hideMark/>
          </w:tcPr>
          <w:p w14:paraId="434732A3"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14,002,938.00</w:t>
            </w:r>
          </w:p>
        </w:tc>
      </w:tr>
      <w:tr w:rsidR="00780D0F" w:rsidRPr="002C5F41" w14:paraId="0199C079"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0EE3805"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Actualizaciones</w:t>
            </w:r>
          </w:p>
        </w:tc>
        <w:tc>
          <w:tcPr>
            <w:tcW w:w="2835" w:type="dxa"/>
            <w:tcBorders>
              <w:top w:val="nil"/>
              <w:left w:val="nil"/>
              <w:bottom w:val="single" w:sz="8" w:space="0" w:color="auto"/>
              <w:right w:val="single" w:sz="8" w:space="0" w:color="auto"/>
            </w:tcBorders>
            <w:shd w:val="clear" w:color="auto" w:fill="auto"/>
            <w:noWrap/>
            <w:vAlign w:val="center"/>
            <w:hideMark/>
          </w:tcPr>
          <w:p w14:paraId="3DE7D316"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2,849,816.00</w:t>
            </w:r>
          </w:p>
        </w:tc>
      </w:tr>
      <w:tr w:rsidR="00780D0F" w:rsidRPr="002C5F41" w14:paraId="3593FDCE"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2798E65"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Recargos</w:t>
            </w:r>
          </w:p>
        </w:tc>
        <w:tc>
          <w:tcPr>
            <w:tcW w:w="2835" w:type="dxa"/>
            <w:tcBorders>
              <w:top w:val="nil"/>
              <w:left w:val="nil"/>
              <w:bottom w:val="single" w:sz="8" w:space="0" w:color="auto"/>
              <w:right w:val="single" w:sz="8" w:space="0" w:color="auto"/>
            </w:tcBorders>
            <w:shd w:val="clear" w:color="auto" w:fill="auto"/>
            <w:noWrap/>
            <w:vAlign w:val="center"/>
            <w:hideMark/>
          </w:tcPr>
          <w:p w14:paraId="0C586128"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11,153,122.00</w:t>
            </w:r>
          </w:p>
        </w:tc>
      </w:tr>
      <w:tr w:rsidR="00780D0F" w:rsidRPr="002C5F41" w14:paraId="2627CB82" w14:textId="77777777" w:rsidTr="00296B6A">
        <w:trPr>
          <w:trHeight w:val="527"/>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097C90DE"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Derechos no Comprendidos en la Ley de Ingresos Vigente, Causados en Ejercicios Fiscales Anteriores Pendientes de Liquidación o Pago</w:t>
            </w:r>
          </w:p>
        </w:tc>
        <w:tc>
          <w:tcPr>
            <w:tcW w:w="2835" w:type="dxa"/>
            <w:tcBorders>
              <w:top w:val="nil"/>
              <w:left w:val="nil"/>
              <w:bottom w:val="single" w:sz="8" w:space="0" w:color="auto"/>
              <w:right w:val="single" w:sz="8" w:space="0" w:color="auto"/>
            </w:tcBorders>
            <w:shd w:val="clear" w:color="000000" w:fill="EDEDED"/>
            <w:noWrap/>
            <w:vAlign w:val="center"/>
            <w:hideMark/>
          </w:tcPr>
          <w:p w14:paraId="0ACE4488"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4799AF1C"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FB6F33F"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Derechos no Comprendidos en la Ley de Ingresos</w:t>
            </w:r>
          </w:p>
        </w:tc>
        <w:tc>
          <w:tcPr>
            <w:tcW w:w="2835" w:type="dxa"/>
            <w:tcBorders>
              <w:top w:val="nil"/>
              <w:left w:val="nil"/>
              <w:bottom w:val="single" w:sz="8" w:space="0" w:color="auto"/>
              <w:right w:val="single" w:sz="8" w:space="0" w:color="auto"/>
            </w:tcBorders>
            <w:shd w:val="clear" w:color="auto" w:fill="auto"/>
            <w:noWrap/>
            <w:vAlign w:val="center"/>
            <w:hideMark/>
          </w:tcPr>
          <w:p w14:paraId="089E9A7F"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022D8BCD"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D4C19C"/>
            <w:vAlign w:val="center"/>
            <w:hideMark/>
          </w:tcPr>
          <w:p w14:paraId="6DDFAF1E" w14:textId="77777777" w:rsidR="00780D0F" w:rsidRPr="002C5F41" w:rsidRDefault="00780D0F" w:rsidP="004215F5">
            <w:pPr>
              <w:ind w:right="277"/>
              <w:rPr>
                <w:rFonts w:ascii="Arial" w:hAnsi="Arial" w:cs="Arial"/>
                <w:b/>
                <w:color w:val="000000"/>
                <w:lang w:eastAsia="es-MX"/>
              </w:rPr>
            </w:pPr>
            <w:r w:rsidRPr="002C5F41">
              <w:rPr>
                <w:rFonts w:ascii="Arial" w:hAnsi="Arial" w:cs="Arial"/>
                <w:b/>
                <w:color w:val="000000"/>
                <w:lang w:eastAsia="es-MX"/>
              </w:rPr>
              <w:t>Productos</w:t>
            </w:r>
          </w:p>
        </w:tc>
        <w:tc>
          <w:tcPr>
            <w:tcW w:w="2835" w:type="dxa"/>
            <w:tcBorders>
              <w:top w:val="nil"/>
              <w:left w:val="nil"/>
              <w:bottom w:val="single" w:sz="8" w:space="0" w:color="auto"/>
              <w:right w:val="single" w:sz="8" w:space="0" w:color="auto"/>
            </w:tcBorders>
            <w:shd w:val="clear" w:color="000000" w:fill="D4C19C"/>
            <w:noWrap/>
            <w:vAlign w:val="center"/>
            <w:hideMark/>
          </w:tcPr>
          <w:p w14:paraId="394E0BF5" w14:textId="77777777" w:rsidR="00780D0F" w:rsidRPr="002C5F41" w:rsidRDefault="00780D0F" w:rsidP="004215F5">
            <w:pPr>
              <w:ind w:right="277"/>
              <w:jc w:val="right"/>
              <w:rPr>
                <w:rFonts w:ascii="Arial" w:hAnsi="Arial" w:cs="Arial"/>
                <w:b/>
                <w:color w:val="000000"/>
                <w:lang w:eastAsia="es-MX"/>
              </w:rPr>
            </w:pPr>
            <w:r w:rsidRPr="002C5F41">
              <w:rPr>
                <w:rFonts w:ascii="Arial" w:hAnsi="Arial" w:cs="Arial"/>
                <w:b/>
                <w:color w:val="000000"/>
                <w:lang w:eastAsia="es-MX"/>
              </w:rPr>
              <w:t>669,248,413.00</w:t>
            </w:r>
          </w:p>
        </w:tc>
      </w:tr>
      <w:tr w:rsidR="00780D0F" w:rsidRPr="002C5F41" w14:paraId="7660F6DF"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2858EA20"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Productos</w:t>
            </w:r>
          </w:p>
        </w:tc>
        <w:tc>
          <w:tcPr>
            <w:tcW w:w="2835" w:type="dxa"/>
            <w:tcBorders>
              <w:top w:val="nil"/>
              <w:left w:val="nil"/>
              <w:bottom w:val="single" w:sz="8" w:space="0" w:color="auto"/>
              <w:right w:val="single" w:sz="8" w:space="0" w:color="auto"/>
            </w:tcBorders>
            <w:shd w:val="clear" w:color="000000" w:fill="EDEDED"/>
            <w:noWrap/>
            <w:vAlign w:val="center"/>
            <w:hideMark/>
          </w:tcPr>
          <w:p w14:paraId="761A9F5F"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669,248,413.00</w:t>
            </w:r>
          </w:p>
        </w:tc>
      </w:tr>
      <w:tr w:rsidR="00780D0F" w:rsidRPr="002C5F41" w14:paraId="2ECA8403"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0EBB07E"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Por expedición, renovación de gafetes</w:t>
            </w:r>
          </w:p>
        </w:tc>
        <w:tc>
          <w:tcPr>
            <w:tcW w:w="2835" w:type="dxa"/>
            <w:tcBorders>
              <w:top w:val="nil"/>
              <w:left w:val="nil"/>
              <w:bottom w:val="single" w:sz="8" w:space="0" w:color="auto"/>
              <w:right w:val="single" w:sz="8" w:space="0" w:color="auto"/>
            </w:tcBorders>
            <w:shd w:val="clear" w:color="auto" w:fill="auto"/>
            <w:noWrap/>
            <w:vAlign w:val="center"/>
            <w:hideMark/>
          </w:tcPr>
          <w:p w14:paraId="6CDE7F67"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22F5EC55"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A373431"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Accesorios de Productos</w:t>
            </w:r>
          </w:p>
        </w:tc>
        <w:tc>
          <w:tcPr>
            <w:tcW w:w="2835" w:type="dxa"/>
            <w:tcBorders>
              <w:top w:val="nil"/>
              <w:left w:val="nil"/>
              <w:bottom w:val="single" w:sz="8" w:space="0" w:color="auto"/>
              <w:right w:val="single" w:sz="8" w:space="0" w:color="auto"/>
            </w:tcBorders>
            <w:shd w:val="clear" w:color="auto" w:fill="auto"/>
            <w:noWrap/>
            <w:vAlign w:val="center"/>
            <w:hideMark/>
          </w:tcPr>
          <w:p w14:paraId="22DA121F"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020D6B40"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4F782DC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Por Fotocopiado e Impresiones</w:t>
            </w:r>
          </w:p>
        </w:tc>
        <w:tc>
          <w:tcPr>
            <w:tcW w:w="2835" w:type="dxa"/>
            <w:tcBorders>
              <w:top w:val="nil"/>
              <w:left w:val="nil"/>
              <w:bottom w:val="single" w:sz="8" w:space="0" w:color="auto"/>
              <w:right w:val="single" w:sz="8" w:space="0" w:color="auto"/>
            </w:tcBorders>
            <w:shd w:val="clear" w:color="auto" w:fill="auto"/>
            <w:noWrap/>
            <w:vAlign w:val="center"/>
            <w:hideMark/>
          </w:tcPr>
          <w:p w14:paraId="50810E46"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0A0E77A"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7D8253B"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Enajenación de Bienes Muebles no Sujetos a ser Inventariados</w:t>
            </w:r>
          </w:p>
        </w:tc>
        <w:tc>
          <w:tcPr>
            <w:tcW w:w="2835" w:type="dxa"/>
            <w:tcBorders>
              <w:top w:val="nil"/>
              <w:left w:val="nil"/>
              <w:bottom w:val="single" w:sz="8" w:space="0" w:color="auto"/>
              <w:right w:val="single" w:sz="8" w:space="0" w:color="auto"/>
            </w:tcBorders>
            <w:shd w:val="clear" w:color="auto" w:fill="auto"/>
            <w:noWrap/>
            <w:vAlign w:val="center"/>
            <w:hideMark/>
          </w:tcPr>
          <w:p w14:paraId="1A191E02"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70,000.00</w:t>
            </w:r>
          </w:p>
        </w:tc>
      </w:tr>
      <w:tr w:rsidR="00780D0F" w:rsidRPr="002C5F41" w14:paraId="0217AE11" w14:textId="77777777" w:rsidTr="00780D0F">
        <w:trPr>
          <w:trHeight w:val="316"/>
        </w:trPr>
        <w:tc>
          <w:tcPr>
            <w:tcW w:w="4678" w:type="dxa"/>
            <w:tcBorders>
              <w:top w:val="nil"/>
              <w:left w:val="single" w:sz="8" w:space="0" w:color="auto"/>
              <w:bottom w:val="single" w:sz="4" w:space="0" w:color="auto"/>
              <w:right w:val="single" w:sz="8" w:space="0" w:color="auto"/>
            </w:tcBorders>
            <w:shd w:val="clear" w:color="auto" w:fill="auto"/>
            <w:vAlign w:val="center"/>
            <w:hideMark/>
          </w:tcPr>
          <w:p w14:paraId="47DD085D"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Indemnización por Terreno (Pemex)</w:t>
            </w:r>
          </w:p>
        </w:tc>
        <w:tc>
          <w:tcPr>
            <w:tcW w:w="2835" w:type="dxa"/>
            <w:tcBorders>
              <w:top w:val="nil"/>
              <w:left w:val="nil"/>
              <w:bottom w:val="single" w:sz="4" w:space="0" w:color="auto"/>
              <w:right w:val="single" w:sz="8" w:space="0" w:color="auto"/>
            </w:tcBorders>
            <w:shd w:val="clear" w:color="auto" w:fill="auto"/>
            <w:noWrap/>
            <w:vAlign w:val="center"/>
            <w:hideMark/>
          </w:tcPr>
          <w:p w14:paraId="0596B7D9"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199,079,989.00</w:t>
            </w:r>
          </w:p>
        </w:tc>
      </w:tr>
      <w:tr w:rsidR="00780D0F" w:rsidRPr="002C5F41" w14:paraId="7BF89CF3" w14:textId="77777777" w:rsidTr="00780D0F">
        <w:trPr>
          <w:trHeight w:val="316"/>
        </w:trPr>
        <w:tc>
          <w:tcPr>
            <w:tcW w:w="46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17D786C"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Intereses Generados</w:t>
            </w:r>
          </w:p>
        </w:tc>
        <w:tc>
          <w:tcPr>
            <w:tcW w:w="2835" w:type="dxa"/>
            <w:tcBorders>
              <w:top w:val="single" w:sz="4" w:space="0" w:color="auto"/>
              <w:left w:val="nil"/>
              <w:bottom w:val="single" w:sz="8" w:space="0" w:color="auto"/>
              <w:right w:val="single" w:sz="8" w:space="0" w:color="auto"/>
            </w:tcBorders>
            <w:shd w:val="clear" w:color="auto" w:fill="auto"/>
            <w:noWrap/>
            <w:vAlign w:val="center"/>
            <w:hideMark/>
          </w:tcPr>
          <w:p w14:paraId="2581B48F"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449,913,366.00</w:t>
            </w:r>
          </w:p>
        </w:tc>
      </w:tr>
      <w:tr w:rsidR="00780D0F" w:rsidRPr="002C5F41" w14:paraId="0AB65E67"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BAA0FAA"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Intereses Generados por Cuentas Municipales</w:t>
            </w:r>
          </w:p>
        </w:tc>
        <w:tc>
          <w:tcPr>
            <w:tcW w:w="2835" w:type="dxa"/>
            <w:tcBorders>
              <w:top w:val="nil"/>
              <w:left w:val="nil"/>
              <w:bottom w:val="single" w:sz="8" w:space="0" w:color="auto"/>
              <w:right w:val="single" w:sz="8" w:space="0" w:color="auto"/>
            </w:tcBorders>
            <w:shd w:val="clear" w:color="auto" w:fill="auto"/>
            <w:noWrap/>
            <w:vAlign w:val="center"/>
            <w:hideMark/>
          </w:tcPr>
          <w:p w14:paraId="1627AA2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8955063"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1150418E"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Productos asociados a créditos (Deuda)</w:t>
            </w:r>
          </w:p>
        </w:tc>
        <w:tc>
          <w:tcPr>
            <w:tcW w:w="2835" w:type="dxa"/>
            <w:tcBorders>
              <w:top w:val="nil"/>
              <w:left w:val="nil"/>
              <w:bottom w:val="single" w:sz="8" w:space="0" w:color="auto"/>
              <w:right w:val="single" w:sz="8" w:space="0" w:color="auto"/>
            </w:tcBorders>
            <w:shd w:val="clear" w:color="auto" w:fill="auto"/>
            <w:noWrap/>
            <w:vAlign w:val="center"/>
            <w:hideMark/>
          </w:tcPr>
          <w:p w14:paraId="4EEF9789"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3B80040"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339DC33"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Enajenación de Bienes Inmuebles</w:t>
            </w:r>
          </w:p>
        </w:tc>
        <w:tc>
          <w:tcPr>
            <w:tcW w:w="2835" w:type="dxa"/>
            <w:tcBorders>
              <w:top w:val="nil"/>
              <w:left w:val="nil"/>
              <w:bottom w:val="single" w:sz="8" w:space="0" w:color="auto"/>
              <w:right w:val="single" w:sz="8" w:space="0" w:color="auto"/>
            </w:tcBorders>
            <w:shd w:val="clear" w:color="auto" w:fill="auto"/>
            <w:noWrap/>
            <w:vAlign w:val="center"/>
            <w:hideMark/>
          </w:tcPr>
          <w:p w14:paraId="0DC1827F"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1632C75"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4EE875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Enajenación de Bienes Muebles</w:t>
            </w:r>
          </w:p>
        </w:tc>
        <w:tc>
          <w:tcPr>
            <w:tcW w:w="2835" w:type="dxa"/>
            <w:tcBorders>
              <w:top w:val="nil"/>
              <w:left w:val="nil"/>
              <w:bottom w:val="single" w:sz="8" w:space="0" w:color="auto"/>
              <w:right w:val="single" w:sz="8" w:space="0" w:color="auto"/>
            </w:tcBorders>
            <w:shd w:val="clear" w:color="auto" w:fill="auto"/>
            <w:noWrap/>
            <w:vAlign w:val="center"/>
            <w:hideMark/>
          </w:tcPr>
          <w:p w14:paraId="5DCB0A9E"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1,500,000.00</w:t>
            </w:r>
          </w:p>
        </w:tc>
      </w:tr>
      <w:tr w:rsidR="00780D0F" w:rsidRPr="002C5F41" w14:paraId="4C6D2A83"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4AD7545"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Intereses Generados por Contrapartes Estatales</w:t>
            </w:r>
          </w:p>
        </w:tc>
        <w:tc>
          <w:tcPr>
            <w:tcW w:w="2835" w:type="dxa"/>
            <w:tcBorders>
              <w:top w:val="nil"/>
              <w:left w:val="nil"/>
              <w:bottom w:val="single" w:sz="8" w:space="0" w:color="auto"/>
              <w:right w:val="single" w:sz="8" w:space="0" w:color="auto"/>
            </w:tcBorders>
            <w:shd w:val="clear" w:color="auto" w:fill="auto"/>
            <w:noWrap/>
            <w:vAlign w:val="center"/>
            <w:hideMark/>
          </w:tcPr>
          <w:p w14:paraId="6D78C010"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3774FBC"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1304B172"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Intereses Generados por el Fondo de Pensiones y Jubilaciones</w:t>
            </w:r>
          </w:p>
        </w:tc>
        <w:tc>
          <w:tcPr>
            <w:tcW w:w="2835" w:type="dxa"/>
            <w:tcBorders>
              <w:top w:val="nil"/>
              <w:left w:val="nil"/>
              <w:bottom w:val="single" w:sz="8" w:space="0" w:color="auto"/>
              <w:right w:val="single" w:sz="8" w:space="0" w:color="auto"/>
            </w:tcBorders>
            <w:shd w:val="clear" w:color="auto" w:fill="auto"/>
            <w:noWrap/>
            <w:vAlign w:val="center"/>
            <w:hideMark/>
          </w:tcPr>
          <w:p w14:paraId="36180B53"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18,685,058.00</w:t>
            </w:r>
          </w:p>
        </w:tc>
      </w:tr>
      <w:tr w:rsidR="00780D0F" w:rsidRPr="002C5F41" w14:paraId="62B64ACF" w14:textId="77777777" w:rsidTr="00296B6A">
        <w:trPr>
          <w:trHeight w:val="527"/>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233ABE4F"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Productos no Comprendidos en la Ley de Ingresos Vigente, Causados en Ejercicios Fiscales Anteriores Pendientes de Liquidación o Pago</w:t>
            </w:r>
          </w:p>
        </w:tc>
        <w:tc>
          <w:tcPr>
            <w:tcW w:w="2835" w:type="dxa"/>
            <w:tcBorders>
              <w:top w:val="nil"/>
              <w:left w:val="nil"/>
              <w:bottom w:val="single" w:sz="8" w:space="0" w:color="auto"/>
              <w:right w:val="single" w:sz="8" w:space="0" w:color="auto"/>
            </w:tcBorders>
            <w:shd w:val="clear" w:color="000000" w:fill="EDEDED"/>
            <w:noWrap/>
            <w:vAlign w:val="center"/>
            <w:hideMark/>
          </w:tcPr>
          <w:p w14:paraId="1FA39C77"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70916F3"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660CF4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Productos no Comprendidos en la Ley de Ingresos</w:t>
            </w:r>
          </w:p>
        </w:tc>
        <w:tc>
          <w:tcPr>
            <w:tcW w:w="2835" w:type="dxa"/>
            <w:tcBorders>
              <w:top w:val="nil"/>
              <w:left w:val="nil"/>
              <w:bottom w:val="single" w:sz="8" w:space="0" w:color="auto"/>
              <w:right w:val="single" w:sz="8" w:space="0" w:color="auto"/>
            </w:tcBorders>
            <w:shd w:val="clear" w:color="auto" w:fill="auto"/>
            <w:noWrap/>
            <w:vAlign w:val="center"/>
            <w:hideMark/>
          </w:tcPr>
          <w:p w14:paraId="4AFC95BB"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4D63AB7C"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D4C19C"/>
            <w:vAlign w:val="center"/>
            <w:hideMark/>
          </w:tcPr>
          <w:p w14:paraId="12C25753" w14:textId="77777777" w:rsidR="00780D0F" w:rsidRPr="002C5F41" w:rsidRDefault="00780D0F" w:rsidP="004215F5">
            <w:pPr>
              <w:ind w:right="277"/>
              <w:rPr>
                <w:rFonts w:ascii="Arial" w:hAnsi="Arial" w:cs="Arial"/>
                <w:b/>
                <w:color w:val="000000"/>
                <w:lang w:eastAsia="es-MX"/>
              </w:rPr>
            </w:pPr>
            <w:r w:rsidRPr="002C5F41">
              <w:rPr>
                <w:rFonts w:ascii="Arial" w:hAnsi="Arial" w:cs="Arial"/>
                <w:b/>
                <w:color w:val="000000"/>
                <w:lang w:eastAsia="es-MX"/>
              </w:rPr>
              <w:t>Aprovechamientos</w:t>
            </w:r>
          </w:p>
        </w:tc>
        <w:tc>
          <w:tcPr>
            <w:tcW w:w="2835" w:type="dxa"/>
            <w:tcBorders>
              <w:top w:val="nil"/>
              <w:left w:val="nil"/>
              <w:bottom w:val="single" w:sz="8" w:space="0" w:color="auto"/>
              <w:right w:val="single" w:sz="8" w:space="0" w:color="auto"/>
            </w:tcBorders>
            <w:shd w:val="clear" w:color="000000" w:fill="D4C19C"/>
            <w:noWrap/>
            <w:vAlign w:val="center"/>
            <w:hideMark/>
          </w:tcPr>
          <w:p w14:paraId="449CC5F9" w14:textId="77777777" w:rsidR="00780D0F" w:rsidRPr="002C5F41" w:rsidRDefault="00780D0F" w:rsidP="004215F5">
            <w:pPr>
              <w:ind w:right="277"/>
              <w:jc w:val="right"/>
              <w:rPr>
                <w:rFonts w:ascii="Arial" w:hAnsi="Arial" w:cs="Arial"/>
                <w:b/>
                <w:color w:val="000000"/>
                <w:lang w:eastAsia="es-MX"/>
              </w:rPr>
            </w:pPr>
            <w:r w:rsidRPr="002C5F41">
              <w:rPr>
                <w:rFonts w:ascii="Arial" w:hAnsi="Arial" w:cs="Arial"/>
                <w:b/>
                <w:color w:val="000000"/>
                <w:lang w:eastAsia="es-MX"/>
              </w:rPr>
              <w:t>186,958,932.00</w:t>
            </w:r>
          </w:p>
        </w:tc>
      </w:tr>
      <w:tr w:rsidR="00780D0F" w:rsidRPr="002C5F41" w14:paraId="7B31294C"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03B69F93"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Aprovechamientos</w:t>
            </w:r>
          </w:p>
        </w:tc>
        <w:tc>
          <w:tcPr>
            <w:tcW w:w="2835" w:type="dxa"/>
            <w:tcBorders>
              <w:top w:val="nil"/>
              <w:left w:val="nil"/>
              <w:bottom w:val="single" w:sz="8" w:space="0" w:color="auto"/>
              <w:right w:val="single" w:sz="8" w:space="0" w:color="auto"/>
            </w:tcBorders>
            <w:shd w:val="clear" w:color="000000" w:fill="EDEDED"/>
            <w:noWrap/>
            <w:vAlign w:val="center"/>
            <w:hideMark/>
          </w:tcPr>
          <w:p w14:paraId="1014709E"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186,928,932.00</w:t>
            </w:r>
          </w:p>
        </w:tc>
      </w:tr>
      <w:tr w:rsidR="00780D0F" w:rsidRPr="002C5F41" w14:paraId="2F1FB214"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80A48E3"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lastRenderedPageBreak/>
              <w:t>Honorarios Estatales</w:t>
            </w:r>
          </w:p>
        </w:tc>
        <w:tc>
          <w:tcPr>
            <w:tcW w:w="2835" w:type="dxa"/>
            <w:tcBorders>
              <w:top w:val="nil"/>
              <w:left w:val="nil"/>
              <w:bottom w:val="single" w:sz="8" w:space="0" w:color="auto"/>
              <w:right w:val="single" w:sz="8" w:space="0" w:color="auto"/>
            </w:tcBorders>
            <w:shd w:val="clear" w:color="auto" w:fill="auto"/>
            <w:noWrap/>
            <w:vAlign w:val="center"/>
            <w:hideMark/>
          </w:tcPr>
          <w:p w14:paraId="2D9B051B"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1,673,811.00</w:t>
            </w:r>
          </w:p>
        </w:tc>
      </w:tr>
      <w:tr w:rsidR="00780D0F" w:rsidRPr="002C5F41" w14:paraId="1220607A"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DFF77DD"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Recargos</w:t>
            </w:r>
          </w:p>
        </w:tc>
        <w:tc>
          <w:tcPr>
            <w:tcW w:w="2835" w:type="dxa"/>
            <w:tcBorders>
              <w:top w:val="nil"/>
              <w:left w:val="nil"/>
              <w:bottom w:val="single" w:sz="8" w:space="0" w:color="auto"/>
              <w:right w:val="single" w:sz="8" w:space="0" w:color="auto"/>
            </w:tcBorders>
            <w:shd w:val="clear" w:color="auto" w:fill="auto"/>
            <w:noWrap/>
            <w:vAlign w:val="center"/>
            <w:hideMark/>
          </w:tcPr>
          <w:p w14:paraId="7CA647E0"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0E55F13"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F21E4C9"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Multas</w:t>
            </w:r>
          </w:p>
        </w:tc>
        <w:tc>
          <w:tcPr>
            <w:tcW w:w="2835" w:type="dxa"/>
            <w:tcBorders>
              <w:top w:val="nil"/>
              <w:left w:val="nil"/>
              <w:bottom w:val="single" w:sz="8" w:space="0" w:color="auto"/>
              <w:right w:val="single" w:sz="8" w:space="0" w:color="auto"/>
            </w:tcBorders>
            <w:shd w:val="clear" w:color="auto" w:fill="auto"/>
            <w:noWrap/>
            <w:vAlign w:val="center"/>
            <w:hideMark/>
          </w:tcPr>
          <w:p w14:paraId="5252E343"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1,510,427.00</w:t>
            </w:r>
          </w:p>
        </w:tc>
      </w:tr>
      <w:tr w:rsidR="00780D0F" w:rsidRPr="002C5F41" w14:paraId="144E3E0C"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A7D3EA9"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Infracciones Estatales</w:t>
            </w:r>
          </w:p>
        </w:tc>
        <w:tc>
          <w:tcPr>
            <w:tcW w:w="2835" w:type="dxa"/>
            <w:tcBorders>
              <w:top w:val="nil"/>
              <w:left w:val="nil"/>
              <w:bottom w:val="single" w:sz="8" w:space="0" w:color="auto"/>
              <w:right w:val="single" w:sz="8" w:space="0" w:color="auto"/>
            </w:tcBorders>
            <w:shd w:val="clear" w:color="auto" w:fill="auto"/>
            <w:noWrap/>
            <w:vAlign w:val="center"/>
            <w:hideMark/>
          </w:tcPr>
          <w:p w14:paraId="01D99C4F"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77,532,595.00</w:t>
            </w:r>
          </w:p>
        </w:tc>
      </w:tr>
      <w:tr w:rsidR="00780D0F" w:rsidRPr="002C5F41" w14:paraId="76DDD010"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18AF0072"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Sanciones y penas convencionales</w:t>
            </w:r>
          </w:p>
        </w:tc>
        <w:tc>
          <w:tcPr>
            <w:tcW w:w="2835" w:type="dxa"/>
            <w:tcBorders>
              <w:top w:val="nil"/>
              <w:left w:val="nil"/>
              <w:bottom w:val="single" w:sz="8" w:space="0" w:color="auto"/>
              <w:right w:val="single" w:sz="8" w:space="0" w:color="auto"/>
            </w:tcBorders>
            <w:shd w:val="clear" w:color="auto" w:fill="auto"/>
            <w:noWrap/>
            <w:vAlign w:val="center"/>
            <w:hideMark/>
          </w:tcPr>
          <w:p w14:paraId="0CB0D4BB"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265,000.00</w:t>
            </w:r>
          </w:p>
        </w:tc>
      </w:tr>
      <w:tr w:rsidR="00780D0F" w:rsidRPr="002C5F41" w14:paraId="2343D903"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683F69D"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Reintegros</w:t>
            </w:r>
          </w:p>
        </w:tc>
        <w:tc>
          <w:tcPr>
            <w:tcW w:w="2835" w:type="dxa"/>
            <w:tcBorders>
              <w:top w:val="nil"/>
              <w:left w:val="nil"/>
              <w:bottom w:val="single" w:sz="8" w:space="0" w:color="auto"/>
              <w:right w:val="single" w:sz="8" w:space="0" w:color="auto"/>
            </w:tcBorders>
            <w:shd w:val="clear" w:color="auto" w:fill="auto"/>
            <w:noWrap/>
            <w:vAlign w:val="center"/>
            <w:hideMark/>
          </w:tcPr>
          <w:p w14:paraId="7F98C829"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130,000.00</w:t>
            </w:r>
          </w:p>
        </w:tc>
      </w:tr>
      <w:tr w:rsidR="00780D0F" w:rsidRPr="002C5F41" w14:paraId="1F496943"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CE91556"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Aprovechamientos provenientes de Obras Públicas</w:t>
            </w:r>
          </w:p>
        </w:tc>
        <w:tc>
          <w:tcPr>
            <w:tcW w:w="2835" w:type="dxa"/>
            <w:tcBorders>
              <w:top w:val="nil"/>
              <w:left w:val="nil"/>
              <w:bottom w:val="single" w:sz="8" w:space="0" w:color="auto"/>
              <w:right w:val="single" w:sz="8" w:space="0" w:color="auto"/>
            </w:tcBorders>
            <w:shd w:val="clear" w:color="auto" w:fill="auto"/>
            <w:noWrap/>
            <w:vAlign w:val="center"/>
            <w:hideMark/>
          </w:tcPr>
          <w:p w14:paraId="14E48EDD"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375BDE77"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E57F2EC"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Aprovechamientos por Participaciones derivadas de la aplicación de Leyes</w:t>
            </w:r>
          </w:p>
        </w:tc>
        <w:tc>
          <w:tcPr>
            <w:tcW w:w="2835" w:type="dxa"/>
            <w:tcBorders>
              <w:top w:val="nil"/>
              <w:left w:val="nil"/>
              <w:bottom w:val="single" w:sz="8" w:space="0" w:color="auto"/>
              <w:right w:val="single" w:sz="8" w:space="0" w:color="auto"/>
            </w:tcBorders>
            <w:shd w:val="clear" w:color="auto" w:fill="auto"/>
            <w:noWrap/>
            <w:vAlign w:val="center"/>
            <w:hideMark/>
          </w:tcPr>
          <w:p w14:paraId="6F0F41CA"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483A9D61"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A724D4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Aprovechamientos por Aportaciones Y Cooperaciones</w:t>
            </w:r>
          </w:p>
        </w:tc>
        <w:tc>
          <w:tcPr>
            <w:tcW w:w="2835" w:type="dxa"/>
            <w:tcBorders>
              <w:top w:val="nil"/>
              <w:left w:val="nil"/>
              <w:bottom w:val="single" w:sz="8" w:space="0" w:color="auto"/>
              <w:right w:val="single" w:sz="8" w:space="0" w:color="auto"/>
            </w:tcBorders>
            <w:shd w:val="clear" w:color="auto" w:fill="auto"/>
            <w:noWrap/>
            <w:vAlign w:val="center"/>
            <w:hideMark/>
          </w:tcPr>
          <w:p w14:paraId="6E0B72A9"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78A52A49"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BB45FF1"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Garantías</w:t>
            </w:r>
          </w:p>
        </w:tc>
        <w:tc>
          <w:tcPr>
            <w:tcW w:w="2835" w:type="dxa"/>
            <w:tcBorders>
              <w:top w:val="nil"/>
              <w:left w:val="nil"/>
              <w:bottom w:val="single" w:sz="8" w:space="0" w:color="auto"/>
              <w:right w:val="single" w:sz="8" w:space="0" w:color="auto"/>
            </w:tcBorders>
            <w:shd w:val="clear" w:color="auto" w:fill="auto"/>
            <w:noWrap/>
            <w:vAlign w:val="center"/>
            <w:hideMark/>
          </w:tcPr>
          <w:p w14:paraId="21D161E4"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9,543.00</w:t>
            </w:r>
          </w:p>
        </w:tc>
      </w:tr>
      <w:tr w:rsidR="00780D0F" w:rsidRPr="002C5F41" w14:paraId="6BAA1C7E"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3543724"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Donativos</w:t>
            </w:r>
          </w:p>
        </w:tc>
        <w:tc>
          <w:tcPr>
            <w:tcW w:w="2835" w:type="dxa"/>
            <w:tcBorders>
              <w:top w:val="nil"/>
              <w:left w:val="nil"/>
              <w:bottom w:val="single" w:sz="8" w:space="0" w:color="auto"/>
              <w:right w:val="single" w:sz="8" w:space="0" w:color="auto"/>
            </w:tcBorders>
            <w:shd w:val="clear" w:color="auto" w:fill="auto"/>
            <w:noWrap/>
            <w:vAlign w:val="center"/>
            <w:hideMark/>
          </w:tcPr>
          <w:p w14:paraId="00D44D67"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2C26DCDB"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813F0D4"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Bases de licitación</w:t>
            </w:r>
          </w:p>
        </w:tc>
        <w:tc>
          <w:tcPr>
            <w:tcW w:w="2835" w:type="dxa"/>
            <w:tcBorders>
              <w:top w:val="nil"/>
              <w:left w:val="nil"/>
              <w:bottom w:val="single" w:sz="8" w:space="0" w:color="auto"/>
              <w:right w:val="single" w:sz="8" w:space="0" w:color="auto"/>
            </w:tcBorders>
            <w:shd w:val="clear" w:color="auto" w:fill="auto"/>
            <w:noWrap/>
            <w:vAlign w:val="center"/>
            <w:hideMark/>
          </w:tcPr>
          <w:p w14:paraId="300ADF57"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238,245.00</w:t>
            </w:r>
          </w:p>
        </w:tc>
      </w:tr>
      <w:tr w:rsidR="00780D0F" w:rsidRPr="002C5F41" w14:paraId="38C6B1E0"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9F385A3"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Aprovechamientos derivados de la Extinción de Organismos Descentralizados</w:t>
            </w:r>
          </w:p>
        </w:tc>
        <w:tc>
          <w:tcPr>
            <w:tcW w:w="2835" w:type="dxa"/>
            <w:tcBorders>
              <w:top w:val="nil"/>
              <w:left w:val="nil"/>
              <w:bottom w:val="single" w:sz="8" w:space="0" w:color="auto"/>
              <w:right w:val="single" w:sz="8" w:space="0" w:color="auto"/>
            </w:tcBorders>
            <w:shd w:val="clear" w:color="auto" w:fill="auto"/>
            <w:noWrap/>
            <w:vAlign w:val="center"/>
            <w:hideMark/>
          </w:tcPr>
          <w:p w14:paraId="3E5AB46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1DB6159C" w14:textId="77777777" w:rsidTr="00296B6A">
        <w:trPr>
          <w:trHeight w:val="527"/>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9A2A08A"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Aprovechamientos por Excedentes de los Ingresos Propios de Organismos Descentralizados</w:t>
            </w:r>
          </w:p>
        </w:tc>
        <w:tc>
          <w:tcPr>
            <w:tcW w:w="2835" w:type="dxa"/>
            <w:tcBorders>
              <w:top w:val="nil"/>
              <w:left w:val="nil"/>
              <w:bottom w:val="single" w:sz="8" w:space="0" w:color="auto"/>
              <w:right w:val="single" w:sz="8" w:space="0" w:color="auto"/>
            </w:tcBorders>
            <w:shd w:val="clear" w:color="auto" w:fill="auto"/>
            <w:noWrap/>
            <w:vAlign w:val="center"/>
            <w:hideMark/>
          </w:tcPr>
          <w:p w14:paraId="2EF59085"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93,869,311.00</w:t>
            </w:r>
          </w:p>
        </w:tc>
      </w:tr>
      <w:tr w:rsidR="00780D0F" w:rsidRPr="002C5F41" w14:paraId="06704D91"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D67CC99"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Venta de Activos de Organismos Descentralizados</w:t>
            </w:r>
          </w:p>
        </w:tc>
        <w:tc>
          <w:tcPr>
            <w:tcW w:w="2835" w:type="dxa"/>
            <w:tcBorders>
              <w:top w:val="nil"/>
              <w:left w:val="nil"/>
              <w:bottom w:val="single" w:sz="8" w:space="0" w:color="auto"/>
              <w:right w:val="single" w:sz="8" w:space="0" w:color="auto"/>
            </w:tcBorders>
            <w:shd w:val="clear" w:color="auto" w:fill="auto"/>
            <w:noWrap/>
            <w:vAlign w:val="center"/>
            <w:hideMark/>
          </w:tcPr>
          <w:p w14:paraId="4220FBFF"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1D8EAF1B" w14:textId="77777777" w:rsidTr="00780D0F">
        <w:trPr>
          <w:trHeight w:val="527"/>
        </w:trPr>
        <w:tc>
          <w:tcPr>
            <w:tcW w:w="4678" w:type="dxa"/>
            <w:tcBorders>
              <w:top w:val="nil"/>
              <w:left w:val="single" w:sz="8" w:space="0" w:color="auto"/>
              <w:bottom w:val="single" w:sz="4" w:space="0" w:color="auto"/>
              <w:right w:val="single" w:sz="8" w:space="0" w:color="auto"/>
            </w:tcBorders>
            <w:shd w:val="clear" w:color="auto" w:fill="auto"/>
            <w:vAlign w:val="center"/>
            <w:hideMark/>
          </w:tcPr>
          <w:p w14:paraId="1D5C64AE"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Aprovechamientos por Economías de Los Ingresos Propios de Organismos Descentralizados</w:t>
            </w:r>
          </w:p>
        </w:tc>
        <w:tc>
          <w:tcPr>
            <w:tcW w:w="2835" w:type="dxa"/>
            <w:tcBorders>
              <w:top w:val="nil"/>
              <w:left w:val="nil"/>
              <w:bottom w:val="single" w:sz="4" w:space="0" w:color="auto"/>
              <w:right w:val="single" w:sz="8" w:space="0" w:color="auto"/>
            </w:tcBorders>
            <w:shd w:val="clear" w:color="auto" w:fill="auto"/>
            <w:noWrap/>
            <w:vAlign w:val="center"/>
            <w:hideMark/>
          </w:tcPr>
          <w:p w14:paraId="7C8F391B"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15FB7833" w14:textId="77777777" w:rsidTr="00780D0F">
        <w:trPr>
          <w:trHeight w:val="316"/>
        </w:trPr>
        <w:tc>
          <w:tcPr>
            <w:tcW w:w="46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5E060AD"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Indemnizaciones</w:t>
            </w:r>
          </w:p>
        </w:tc>
        <w:tc>
          <w:tcPr>
            <w:tcW w:w="2835" w:type="dxa"/>
            <w:tcBorders>
              <w:top w:val="single" w:sz="4" w:space="0" w:color="auto"/>
              <w:left w:val="nil"/>
              <w:bottom w:val="single" w:sz="8" w:space="0" w:color="auto"/>
              <w:right w:val="single" w:sz="8" w:space="0" w:color="auto"/>
            </w:tcBorders>
            <w:shd w:val="clear" w:color="auto" w:fill="auto"/>
            <w:noWrap/>
            <w:vAlign w:val="center"/>
            <w:hideMark/>
          </w:tcPr>
          <w:p w14:paraId="0BE9735D"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700,000.00</w:t>
            </w:r>
          </w:p>
        </w:tc>
      </w:tr>
      <w:tr w:rsidR="00780D0F" w:rsidRPr="002C5F41" w14:paraId="4DC5ECB3"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B3F05F4"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Aprovechamientos por Excedentes para Organismos Autónomos</w:t>
            </w:r>
          </w:p>
        </w:tc>
        <w:tc>
          <w:tcPr>
            <w:tcW w:w="2835" w:type="dxa"/>
            <w:tcBorders>
              <w:top w:val="nil"/>
              <w:left w:val="nil"/>
              <w:bottom w:val="single" w:sz="8" w:space="0" w:color="auto"/>
              <w:right w:val="single" w:sz="8" w:space="0" w:color="auto"/>
            </w:tcBorders>
            <w:shd w:val="clear" w:color="auto" w:fill="auto"/>
            <w:noWrap/>
            <w:vAlign w:val="center"/>
            <w:hideMark/>
          </w:tcPr>
          <w:p w14:paraId="6BD46224"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0F2C2F9D"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D165EFA"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Otros Aprovechamientos</w:t>
            </w:r>
          </w:p>
        </w:tc>
        <w:tc>
          <w:tcPr>
            <w:tcW w:w="2835" w:type="dxa"/>
            <w:tcBorders>
              <w:top w:val="nil"/>
              <w:left w:val="nil"/>
              <w:bottom w:val="single" w:sz="8" w:space="0" w:color="auto"/>
              <w:right w:val="single" w:sz="8" w:space="0" w:color="auto"/>
            </w:tcBorders>
            <w:shd w:val="clear" w:color="auto" w:fill="auto"/>
            <w:noWrap/>
            <w:vAlign w:val="center"/>
            <w:hideMark/>
          </w:tcPr>
          <w:p w14:paraId="1E466F65"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11,000,000.00</w:t>
            </w:r>
          </w:p>
        </w:tc>
      </w:tr>
      <w:tr w:rsidR="00780D0F" w:rsidRPr="002C5F41" w14:paraId="304792E1"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2D2B5D2C"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Accesorios de Aprovechamientos</w:t>
            </w:r>
          </w:p>
        </w:tc>
        <w:tc>
          <w:tcPr>
            <w:tcW w:w="2835" w:type="dxa"/>
            <w:tcBorders>
              <w:top w:val="nil"/>
              <w:left w:val="nil"/>
              <w:bottom w:val="single" w:sz="8" w:space="0" w:color="auto"/>
              <w:right w:val="single" w:sz="8" w:space="0" w:color="auto"/>
            </w:tcBorders>
            <w:shd w:val="clear" w:color="000000" w:fill="EDEDED"/>
            <w:noWrap/>
            <w:vAlign w:val="center"/>
            <w:hideMark/>
          </w:tcPr>
          <w:p w14:paraId="73A2313B"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30,000.00</w:t>
            </w:r>
          </w:p>
        </w:tc>
      </w:tr>
      <w:tr w:rsidR="00780D0F" w:rsidRPr="002C5F41" w14:paraId="65725E82"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44DA91B0"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Aprovechamientos Procuraduría Fiscal</w:t>
            </w:r>
          </w:p>
        </w:tc>
        <w:tc>
          <w:tcPr>
            <w:tcW w:w="2835" w:type="dxa"/>
            <w:tcBorders>
              <w:top w:val="nil"/>
              <w:left w:val="nil"/>
              <w:bottom w:val="single" w:sz="8" w:space="0" w:color="auto"/>
              <w:right w:val="single" w:sz="8" w:space="0" w:color="auto"/>
            </w:tcBorders>
            <w:shd w:val="clear" w:color="auto" w:fill="auto"/>
            <w:noWrap/>
            <w:vAlign w:val="center"/>
            <w:hideMark/>
          </w:tcPr>
          <w:p w14:paraId="1013DF83"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30,000.00</w:t>
            </w:r>
          </w:p>
        </w:tc>
      </w:tr>
      <w:tr w:rsidR="00780D0F" w:rsidRPr="002C5F41" w14:paraId="23DC2D72" w14:textId="77777777" w:rsidTr="00296B6A">
        <w:trPr>
          <w:trHeight w:val="527"/>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6FA08AB9"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Aprovechamientos no Comprendidos en la Ley de Ingresos Vigente, Causados en Ejercicios Fiscales Anteriores Pendientes de Liquidación o Pago</w:t>
            </w:r>
          </w:p>
        </w:tc>
        <w:tc>
          <w:tcPr>
            <w:tcW w:w="2835" w:type="dxa"/>
            <w:tcBorders>
              <w:top w:val="nil"/>
              <w:left w:val="nil"/>
              <w:bottom w:val="single" w:sz="8" w:space="0" w:color="auto"/>
              <w:right w:val="single" w:sz="8" w:space="0" w:color="auto"/>
            </w:tcBorders>
            <w:shd w:val="clear" w:color="000000" w:fill="EDEDED"/>
            <w:noWrap/>
            <w:vAlign w:val="center"/>
            <w:hideMark/>
          </w:tcPr>
          <w:p w14:paraId="7CF6D1D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12EBB949"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0C84541"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Aprovechamientos no comprendidos en Ley de Ingresos</w:t>
            </w:r>
          </w:p>
        </w:tc>
        <w:tc>
          <w:tcPr>
            <w:tcW w:w="2835" w:type="dxa"/>
            <w:tcBorders>
              <w:top w:val="nil"/>
              <w:left w:val="nil"/>
              <w:bottom w:val="single" w:sz="8" w:space="0" w:color="auto"/>
              <w:right w:val="single" w:sz="8" w:space="0" w:color="auto"/>
            </w:tcBorders>
            <w:shd w:val="clear" w:color="auto" w:fill="auto"/>
            <w:noWrap/>
            <w:vAlign w:val="center"/>
            <w:hideMark/>
          </w:tcPr>
          <w:p w14:paraId="2E15BC76"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090A2100" w14:textId="77777777" w:rsidTr="00296B6A">
        <w:trPr>
          <w:trHeight w:val="527"/>
        </w:trPr>
        <w:tc>
          <w:tcPr>
            <w:tcW w:w="4678" w:type="dxa"/>
            <w:tcBorders>
              <w:top w:val="nil"/>
              <w:left w:val="single" w:sz="8" w:space="0" w:color="auto"/>
              <w:bottom w:val="single" w:sz="8" w:space="0" w:color="auto"/>
              <w:right w:val="single" w:sz="8" w:space="0" w:color="auto"/>
            </w:tcBorders>
            <w:shd w:val="clear" w:color="000000" w:fill="D4C19C"/>
            <w:vAlign w:val="center"/>
            <w:hideMark/>
          </w:tcPr>
          <w:p w14:paraId="782FE4C2" w14:textId="77777777" w:rsidR="00780D0F" w:rsidRPr="002C5F41" w:rsidRDefault="00780D0F" w:rsidP="004215F5">
            <w:pPr>
              <w:ind w:right="277"/>
              <w:rPr>
                <w:rFonts w:ascii="Arial" w:hAnsi="Arial" w:cs="Arial"/>
                <w:b/>
                <w:color w:val="000000"/>
                <w:lang w:eastAsia="es-MX"/>
              </w:rPr>
            </w:pPr>
            <w:r w:rsidRPr="002C5F41">
              <w:rPr>
                <w:rFonts w:ascii="Arial" w:hAnsi="Arial" w:cs="Arial"/>
                <w:b/>
                <w:color w:val="000000"/>
                <w:lang w:eastAsia="es-MX"/>
              </w:rPr>
              <w:t>Participaciones, Aportaciones, Convenios, Incentivos Derivados de la Colaboración Fiscal y Fondos Distintos de Aportaciones</w:t>
            </w:r>
          </w:p>
        </w:tc>
        <w:tc>
          <w:tcPr>
            <w:tcW w:w="2835" w:type="dxa"/>
            <w:tcBorders>
              <w:top w:val="nil"/>
              <w:left w:val="nil"/>
              <w:bottom w:val="single" w:sz="8" w:space="0" w:color="auto"/>
              <w:right w:val="single" w:sz="8" w:space="0" w:color="auto"/>
            </w:tcBorders>
            <w:shd w:val="clear" w:color="000000" w:fill="D4C19C"/>
            <w:noWrap/>
            <w:vAlign w:val="center"/>
            <w:hideMark/>
          </w:tcPr>
          <w:p w14:paraId="6067CC01" w14:textId="77777777" w:rsidR="00780D0F" w:rsidRPr="002C5F41" w:rsidRDefault="00780D0F" w:rsidP="004215F5">
            <w:pPr>
              <w:ind w:right="277"/>
              <w:jc w:val="right"/>
              <w:rPr>
                <w:rFonts w:ascii="Arial" w:hAnsi="Arial" w:cs="Arial"/>
                <w:b/>
                <w:color w:val="000000"/>
                <w:lang w:eastAsia="es-MX"/>
              </w:rPr>
            </w:pPr>
            <w:r w:rsidRPr="002C5F41">
              <w:rPr>
                <w:rFonts w:ascii="Arial" w:hAnsi="Arial" w:cs="Arial"/>
                <w:b/>
                <w:bCs/>
                <w:color w:val="000000"/>
                <w:lang w:eastAsia="es-MX"/>
              </w:rPr>
              <w:t>60,200,037,120.00</w:t>
            </w:r>
          </w:p>
        </w:tc>
      </w:tr>
      <w:tr w:rsidR="00780D0F" w:rsidRPr="002C5F41" w14:paraId="6B587597"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64A0C049"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Participaciones</w:t>
            </w:r>
          </w:p>
        </w:tc>
        <w:tc>
          <w:tcPr>
            <w:tcW w:w="2835" w:type="dxa"/>
            <w:tcBorders>
              <w:top w:val="nil"/>
              <w:left w:val="nil"/>
              <w:bottom w:val="single" w:sz="8" w:space="0" w:color="auto"/>
              <w:right w:val="single" w:sz="8" w:space="0" w:color="auto"/>
            </w:tcBorders>
            <w:shd w:val="clear" w:color="000000" w:fill="EDEDED"/>
            <w:noWrap/>
            <w:vAlign w:val="center"/>
            <w:hideMark/>
          </w:tcPr>
          <w:p w14:paraId="05FD8EB5"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27,358,679,765.00</w:t>
            </w:r>
          </w:p>
        </w:tc>
      </w:tr>
      <w:tr w:rsidR="00780D0F" w:rsidRPr="002C5F41" w14:paraId="20F0F315"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BA418C4"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 General de Participaciones</w:t>
            </w:r>
          </w:p>
        </w:tc>
        <w:tc>
          <w:tcPr>
            <w:tcW w:w="2835" w:type="dxa"/>
            <w:tcBorders>
              <w:top w:val="nil"/>
              <w:left w:val="nil"/>
              <w:bottom w:val="single" w:sz="8" w:space="0" w:color="auto"/>
              <w:right w:val="single" w:sz="8" w:space="0" w:color="auto"/>
            </w:tcBorders>
            <w:shd w:val="clear" w:color="auto" w:fill="auto"/>
            <w:noWrap/>
            <w:vAlign w:val="center"/>
            <w:hideMark/>
          </w:tcPr>
          <w:p w14:paraId="2156FB3C"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21,839,916,022.00</w:t>
            </w:r>
          </w:p>
        </w:tc>
      </w:tr>
      <w:tr w:rsidR="00780D0F" w:rsidRPr="002C5F41" w14:paraId="079CEFDE"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6AA2EA4"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 de Fomento Municipal</w:t>
            </w:r>
          </w:p>
        </w:tc>
        <w:tc>
          <w:tcPr>
            <w:tcW w:w="2835" w:type="dxa"/>
            <w:tcBorders>
              <w:top w:val="nil"/>
              <w:left w:val="nil"/>
              <w:bottom w:val="single" w:sz="8" w:space="0" w:color="auto"/>
              <w:right w:val="single" w:sz="8" w:space="0" w:color="auto"/>
            </w:tcBorders>
            <w:shd w:val="clear" w:color="auto" w:fill="auto"/>
            <w:noWrap/>
            <w:vAlign w:val="center"/>
            <w:hideMark/>
          </w:tcPr>
          <w:p w14:paraId="59CC2464"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1,504,085,797.00</w:t>
            </w:r>
          </w:p>
        </w:tc>
      </w:tr>
      <w:tr w:rsidR="00780D0F" w:rsidRPr="002C5F41" w14:paraId="134835DA"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AAABB7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 de Fiscalización y Recaudación</w:t>
            </w:r>
          </w:p>
        </w:tc>
        <w:tc>
          <w:tcPr>
            <w:tcW w:w="2835" w:type="dxa"/>
            <w:tcBorders>
              <w:top w:val="nil"/>
              <w:left w:val="nil"/>
              <w:bottom w:val="single" w:sz="8" w:space="0" w:color="auto"/>
              <w:right w:val="single" w:sz="8" w:space="0" w:color="auto"/>
            </w:tcBorders>
            <w:shd w:val="clear" w:color="auto" w:fill="auto"/>
            <w:noWrap/>
            <w:vAlign w:val="center"/>
            <w:hideMark/>
          </w:tcPr>
          <w:p w14:paraId="72E69753"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926,622,795.00</w:t>
            </w:r>
          </w:p>
        </w:tc>
      </w:tr>
      <w:tr w:rsidR="00780D0F" w:rsidRPr="002C5F41" w14:paraId="5EE8E22F"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446B8D9"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 de Compensación</w:t>
            </w:r>
          </w:p>
        </w:tc>
        <w:tc>
          <w:tcPr>
            <w:tcW w:w="2835" w:type="dxa"/>
            <w:tcBorders>
              <w:top w:val="nil"/>
              <w:left w:val="nil"/>
              <w:bottom w:val="single" w:sz="8" w:space="0" w:color="auto"/>
              <w:right w:val="single" w:sz="8" w:space="0" w:color="auto"/>
            </w:tcBorders>
            <w:shd w:val="clear" w:color="auto" w:fill="auto"/>
            <w:noWrap/>
            <w:vAlign w:val="center"/>
            <w:hideMark/>
          </w:tcPr>
          <w:p w14:paraId="382E2FB4"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569,310,518.00</w:t>
            </w:r>
          </w:p>
        </w:tc>
      </w:tr>
      <w:tr w:rsidR="00780D0F" w:rsidRPr="002C5F41" w14:paraId="791FE7CD"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739FE1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Impuesto Especial Sobre Producción y Servicios</w:t>
            </w:r>
          </w:p>
        </w:tc>
        <w:tc>
          <w:tcPr>
            <w:tcW w:w="2835" w:type="dxa"/>
            <w:tcBorders>
              <w:top w:val="nil"/>
              <w:left w:val="nil"/>
              <w:bottom w:val="single" w:sz="8" w:space="0" w:color="auto"/>
              <w:right w:val="single" w:sz="8" w:space="0" w:color="auto"/>
            </w:tcBorders>
            <w:shd w:val="clear" w:color="auto" w:fill="auto"/>
            <w:noWrap/>
            <w:vAlign w:val="center"/>
            <w:hideMark/>
          </w:tcPr>
          <w:p w14:paraId="76D58A19"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1,107,456,305.00</w:t>
            </w:r>
          </w:p>
        </w:tc>
      </w:tr>
      <w:tr w:rsidR="00780D0F" w:rsidRPr="002C5F41" w14:paraId="32779F52" w14:textId="77777777" w:rsidTr="00296B6A">
        <w:trPr>
          <w:trHeight w:val="527"/>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80C941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lastRenderedPageBreak/>
              <w:t>Participación por la Recaudación obtenida de Impuesto Sobre la Renta enterado a la Federación</w:t>
            </w:r>
          </w:p>
        </w:tc>
        <w:tc>
          <w:tcPr>
            <w:tcW w:w="2835" w:type="dxa"/>
            <w:tcBorders>
              <w:top w:val="nil"/>
              <w:left w:val="nil"/>
              <w:bottom w:val="single" w:sz="8" w:space="0" w:color="auto"/>
              <w:right w:val="single" w:sz="8" w:space="0" w:color="auto"/>
            </w:tcBorders>
            <w:shd w:val="clear" w:color="auto" w:fill="auto"/>
            <w:noWrap/>
            <w:vAlign w:val="center"/>
            <w:hideMark/>
          </w:tcPr>
          <w:p w14:paraId="759A107E"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1,411,288,328.00</w:t>
            </w:r>
          </w:p>
        </w:tc>
      </w:tr>
      <w:tr w:rsidR="00780D0F" w:rsidRPr="002C5F41" w14:paraId="65EFD6C6"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227D5D8"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 de Estabilización de los Ingresos de las Entidades Federativas</w:t>
            </w:r>
          </w:p>
        </w:tc>
        <w:tc>
          <w:tcPr>
            <w:tcW w:w="2835" w:type="dxa"/>
            <w:tcBorders>
              <w:top w:val="nil"/>
              <w:left w:val="nil"/>
              <w:bottom w:val="single" w:sz="8" w:space="0" w:color="auto"/>
              <w:right w:val="single" w:sz="8" w:space="0" w:color="auto"/>
            </w:tcBorders>
            <w:shd w:val="clear" w:color="auto" w:fill="auto"/>
            <w:noWrap/>
            <w:vAlign w:val="center"/>
            <w:hideMark/>
          </w:tcPr>
          <w:p w14:paraId="3D439D2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629E2903"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3D0F5753"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Aportaciones</w:t>
            </w:r>
          </w:p>
        </w:tc>
        <w:tc>
          <w:tcPr>
            <w:tcW w:w="2835" w:type="dxa"/>
            <w:tcBorders>
              <w:top w:val="nil"/>
              <w:left w:val="nil"/>
              <w:bottom w:val="single" w:sz="8" w:space="0" w:color="auto"/>
              <w:right w:val="single" w:sz="8" w:space="0" w:color="auto"/>
            </w:tcBorders>
            <w:shd w:val="clear" w:color="000000" w:fill="EDEDED"/>
            <w:noWrap/>
            <w:vAlign w:val="center"/>
            <w:hideMark/>
          </w:tcPr>
          <w:p w14:paraId="1095EC7D"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32,232,477,795.00</w:t>
            </w:r>
          </w:p>
        </w:tc>
      </w:tr>
      <w:tr w:rsidR="00780D0F" w:rsidRPr="002C5F41" w14:paraId="7F6A94F6"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8983B5E"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 de Aportaciones para la Nómina Educativa y Gasto Operativo (</w:t>
            </w:r>
            <w:proofErr w:type="spellStart"/>
            <w:r w:rsidRPr="002C5F41">
              <w:rPr>
                <w:rFonts w:ascii="Arial" w:hAnsi="Arial" w:cs="Arial"/>
                <w:color w:val="000000"/>
                <w:lang w:eastAsia="es-MX"/>
              </w:rPr>
              <w:t>FONE</w:t>
            </w:r>
            <w:proofErr w:type="spellEnd"/>
            <w:r w:rsidRPr="002C5F41">
              <w:rPr>
                <w:rFonts w:ascii="Arial" w:hAnsi="Arial" w:cs="Arial"/>
                <w:color w:val="000000"/>
                <w:lang w:eastAsia="es-MX"/>
              </w:rPr>
              <w:t>)</w:t>
            </w:r>
          </w:p>
        </w:tc>
        <w:tc>
          <w:tcPr>
            <w:tcW w:w="2835" w:type="dxa"/>
            <w:tcBorders>
              <w:top w:val="nil"/>
              <w:left w:val="nil"/>
              <w:bottom w:val="single" w:sz="8" w:space="0" w:color="auto"/>
              <w:right w:val="single" w:sz="8" w:space="0" w:color="auto"/>
            </w:tcBorders>
            <w:shd w:val="clear" w:color="auto" w:fill="auto"/>
            <w:noWrap/>
            <w:vAlign w:val="center"/>
            <w:hideMark/>
          </w:tcPr>
          <w:p w14:paraId="332A78D7"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20,612,907,883.00</w:t>
            </w:r>
          </w:p>
        </w:tc>
      </w:tr>
      <w:tr w:rsidR="00780D0F" w:rsidRPr="002C5F41" w14:paraId="770BA44A"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6E19ECC"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 de Aportaciones para los Servicios de Salud (</w:t>
            </w:r>
            <w:proofErr w:type="spellStart"/>
            <w:r w:rsidRPr="002C5F41">
              <w:rPr>
                <w:rFonts w:ascii="Arial" w:hAnsi="Arial" w:cs="Arial"/>
                <w:color w:val="000000"/>
                <w:lang w:eastAsia="es-MX"/>
              </w:rPr>
              <w:t>FASSA</w:t>
            </w:r>
            <w:proofErr w:type="spellEnd"/>
            <w:r w:rsidRPr="002C5F41">
              <w:rPr>
                <w:rFonts w:ascii="Arial" w:hAnsi="Arial" w:cs="Arial"/>
                <w:color w:val="000000"/>
                <w:lang w:eastAsia="es-MX"/>
              </w:rPr>
              <w:t>)</w:t>
            </w:r>
          </w:p>
        </w:tc>
        <w:tc>
          <w:tcPr>
            <w:tcW w:w="2835" w:type="dxa"/>
            <w:tcBorders>
              <w:top w:val="nil"/>
              <w:left w:val="nil"/>
              <w:bottom w:val="single" w:sz="8" w:space="0" w:color="auto"/>
              <w:right w:val="single" w:sz="8" w:space="0" w:color="auto"/>
            </w:tcBorders>
            <w:shd w:val="clear" w:color="auto" w:fill="auto"/>
            <w:noWrap/>
            <w:vAlign w:val="center"/>
            <w:hideMark/>
          </w:tcPr>
          <w:p w14:paraId="0895D4A6"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1,842,971,943.00</w:t>
            </w:r>
          </w:p>
        </w:tc>
      </w:tr>
      <w:tr w:rsidR="00780D0F" w:rsidRPr="002C5F41" w14:paraId="589EA43D"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14AAAFBC"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 de Aportaciones para la Infraestructura Social (</w:t>
            </w:r>
            <w:proofErr w:type="spellStart"/>
            <w:r w:rsidRPr="002C5F41">
              <w:rPr>
                <w:rFonts w:ascii="Arial" w:hAnsi="Arial" w:cs="Arial"/>
                <w:color w:val="000000"/>
                <w:lang w:eastAsia="es-MX"/>
              </w:rPr>
              <w:t>FAIS</w:t>
            </w:r>
            <w:proofErr w:type="spellEnd"/>
            <w:r w:rsidRPr="002C5F41">
              <w:rPr>
                <w:rFonts w:ascii="Arial" w:hAnsi="Arial" w:cs="Arial"/>
                <w:color w:val="000000"/>
                <w:lang w:eastAsia="es-MX"/>
              </w:rPr>
              <w:t>)</w:t>
            </w:r>
          </w:p>
        </w:tc>
        <w:tc>
          <w:tcPr>
            <w:tcW w:w="2835" w:type="dxa"/>
            <w:tcBorders>
              <w:top w:val="nil"/>
              <w:left w:val="nil"/>
              <w:bottom w:val="single" w:sz="8" w:space="0" w:color="auto"/>
              <w:right w:val="single" w:sz="8" w:space="0" w:color="auto"/>
            </w:tcBorders>
            <w:shd w:val="clear" w:color="auto" w:fill="auto"/>
            <w:noWrap/>
            <w:vAlign w:val="center"/>
            <w:hideMark/>
          </w:tcPr>
          <w:p w14:paraId="732474B8"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3,342,307,005.00</w:t>
            </w:r>
          </w:p>
        </w:tc>
      </w:tr>
      <w:tr w:rsidR="00780D0F" w:rsidRPr="002C5F41" w14:paraId="43598BF1" w14:textId="77777777" w:rsidTr="00296B6A">
        <w:trPr>
          <w:trHeight w:val="527"/>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90F997E"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 de Aportaciones para el Fortalecimiento de los Municipios y de las Demarcaciones Territoriales del Distrito Federal (</w:t>
            </w:r>
            <w:proofErr w:type="spellStart"/>
            <w:r w:rsidRPr="002C5F41">
              <w:rPr>
                <w:rFonts w:ascii="Arial" w:hAnsi="Arial" w:cs="Arial"/>
                <w:color w:val="000000"/>
                <w:lang w:eastAsia="es-MX"/>
              </w:rPr>
              <w:t>FORTAMUNDF</w:t>
            </w:r>
            <w:proofErr w:type="spellEnd"/>
            <w:r w:rsidRPr="002C5F41">
              <w:rPr>
                <w:rFonts w:ascii="Arial" w:hAnsi="Arial" w:cs="Arial"/>
                <w:color w:val="000000"/>
                <w:lang w:eastAsia="es-MX"/>
              </w:rPr>
              <w:t>)</w:t>
            </w:r>
          </w:p>
        </w:tc>
        <w:tc>
          <w:tcPr>
            <w:tcW w:w="2835" w:type="dxa"/>
            <w:tcBorders>
              <w:top w:val="nil"/>
              <w:left w:val="nil"/>
              <w:bottom w:val="single" w:sz="8" w:space="0" w:color="auto"/>
              <w:right w:val="single" w:sz="8" w:space="0" w:color="auto"/>
            </w:tcBorders>
            <w:shd w:val="clear" w:color="auto" w:fill="auto"/>
            <w:noWrap/>
            <w:vAlign w:val="center"/>
            <w:hideMark/>
          </w:tcPr>
          <w:p w14:paraId="46804EBD"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3,088,266,946.00</w:t>
            </w:r>
          </w:p>
        </w:tc>
      </w:tr>
      <w:tr w:rsidR="00780D0F" w:rsidRPr="002C5F41" w14:paraId="43F041A6"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D5A69E0"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 de Aportaciones Múltiples (</w:t>
            </w:r>
            <w:proofErr w:type="spellStart"/>
            <w:r w:rsidRPr="002C5F41">
              <w:rPr>
                <w:rFonts w:ascii="Arial" w:hAnsi="Arial" w:cs="Arial"/>
                <w:color w:val="000000"/>
                <w:lang w:eastAsia="es-MX"/>
              </w:rPr>
              <w:t>FAM</w:t>
            </w:r>
            <w:proofErr w:type="spellEnd"/>
            <w:r w:rsidRPr="002C5F41">
              <w:rPr>
                <w:rFonts w:ascii="Arial" w:hAnsi="Arial" w:cs="Arial"/>
                <w:color w:val="000000"/>
                <w:lang w:eastAsia="es-MX"/>
              </w:rPr>
              <w:t>)</w:t>
            </w:r>
          </w:p>
        </w:tc>
        <w:tc>
          <w:tcPr>
            <w:tcW w:w="2835" w:type="dxa"/>
            <w:tcBorders>
              <w:top w:val="nil"/>
              <w:left w:val="nil"/>
              <w:bottom w:val="single" w:sz="8" w:space="0" w:color="auto"/>
              <w:right w:val="single" w:sz="8" w:space="0" w:color="auto"/>
            </w:tcBorders>
            <w:shd w:val="clear" w:color="auto" w:fill="auto"/>
            <w:noWrap/>
            <w:vAlign w:val="center"/>
            <w:hideMark/>
          </w:tcPr>
          <w:p w14:paraId="709CA198"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1,053,797,183.00</w:t>
            </w:r>
          </w:p>
        </w:tc>
      </w:tr>
      <w:tr w:rsidR="00780D0F" w:rsidRPr="002C5F41" w14:paraId="36DC2E24"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31359D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 de aportaciones para la Educación Tecnológica y de Adultos (</w:t>
            </w:r>
            <w:proofErr w:type="spellStart"/>
            <w:r w:rsidRPr="002C5F41">
              <w:rPr>
                <w:rFonts w:ascii="Arial" w:hAnsi="Arial" w:cs="Arial"/>
                <w:color w:val="000000"/>
                <w:lang w:eastAsia="es-MX"/>
              </w:rPr>
              <w:t>FAETA</w:t>
            </w:r>
            <w:proofErr w:type="spellEnd"/>
            <w:r w:rsidRPr="002C5F41">
              <w:rPr>
                <w:rFonts w:ascii="Arial" w:hAnsi="Arial" w:cs="Arial"/>
                <w:color w:val="000000"/>
                <w:lang w:eastAsia="es-MX"/>
              </w:rPr>
              <w:t>)</w:t>
            </w:r>
          </w:p>
        </w:tc>
        <w:tc>
          <w:tcPr>
            <w:tcW w:w="2835" w:type="dxa"/>
            <w:tcBorders>
              <w:top w:val="nil"/>
              <w:left w:val="nil"/>
              <w:bottom w:val="single" w:sz="8" w:space="0" w:color="auto"/>
              <w:right w:val="single" w:sz="8" w:space="0" w:color="auto"/>
            </w:tcBorders>
            <w:shd w:val="clear" w:color="auto" w:fill="auto"/>
            <w:noWrap/>
            <w:vAlign w:val="center"/>
            <w:hideMark/>
          </w:tcPr>
          <w:p w14:paraId="486A7375"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215,455,741.00</w:t>
            </w:r>
          </w:p>
        </w:tc>
      </w:tr>
      <w:tr w:rsidR="00780D0F" w:rsidRPr="002C5F41" w14:paraId="6F62D74B" w14:textId="77777777" w:rsidTr="00780D0F">
        <w:trPr>
          <w:trHeight w:val="527"/>
        </w:trPr>
        <w:tc>
          <w:tcPr>
            <w:tcW w:w="4678" w:type="dxa"/>
            <w:tcBorders>
              <w:top w:val="nil"/>
              <w:left w:val="single" w:sz="8" w:space="0" w:color="auto"/>
              <w:bottom w:val="single" w:sz="4" w:space="0" w:color="auto"/>
              <w:right w:val="single" w:sz="8" w:space="0" w:color="auto"/>
            </w:tcBorders>
            <w:shd w:val="clear" w:color="auto" w:fill="auto"/>
            <w:vAlign w:val="center"/>
            <w:hideMark/>
          </w:tcPr>
          <w:p w14:paraId="37E2DE5D"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 de Aportaciones para la Seguridad Pública de los Estados y del Distrito Federal (</w:t>
            </w:r>
            <w:proofErr w:type="spellStart"/>
            <w:r w:rsidRPr="002C5F41">
              <w:rPr>
                <w:rFonts w:ascii="Arial" w:hAnsi="Arial" w:cs="Arial"/>
                <w:color w:val="000000"/>
                <w:lang w:eastAsia="es-MX"/>
              </w:rPr>
              <w:t>FASP</w:t>
            </w:r>
            <w:proofErr w:type="spellEnd"/>
            <w:r w:rsidRPr="002C5F41">
              <w:rPr>
                <w:rFonts w:ascii="Arial" w:hAnsi="Arial" w:cs="Arial"/>
                <w:color w:val="000000"/>
                <w:lang w:eastAsia="es-MX"/>
              </w:rPr>
              <w:t>)</w:t>
            </w:r>
          </w:p>
        </w:tc>
        <w:tc>
          <w:tcPr>
            <w:tcW w:w="2835" w:type="dxa"/>
            <w:tcBorders>
              <w:top w:val="nil"/>
              <w:left w:val="nil"/>
              <w:bottom w:val="single" w:sz="4" w:space="0" w:color="auto"/>
              <w:right w:val="single" w:sz="8" w:space="0" w:color="auto"/>
            </w:tcBorders>
            <w:shd w:val="clear" w:color="auto" w:fill="auto"/>
            <w:noWrap/>
            <w:vAlign w:val="center"/>
            <w:hideMark/>
          </w:tcPr>
          <w:p w14:paraId="157973F9"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251,510,952.00</w:t>
            </w:r>
          </w:p>
        </w:tc>
      </w:tr>
      <w:tr w:rsidR="00780D0F" w:rsidRPr="002C5F41" w14:paraId="48D57B98" w14:textId="77777777" w:rsidTr="00780D0F">
        <w:trPr>
          <w:trHeight w:val="527"/>
        </w:trPr>
        <w:tc>
          <w:tcPr>
            <w:tcW w:w="46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DEA4F28"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 de Aportaciones para el Fortalecimiento de las Entidades Federativas (</w:t>
            </w:r>
            <w:proofErr w:type="spellStart"/>
            <w:r w:rsidRPr="002C5F41">
              <w:rPr>
                <w:rFonts w:ascii="Arial" w:hAnsi="Arial" w:cs="Arial"/>
                <w:color w:val="000000"/>
                <w:lang w:eastAsia="es-MX"/>
              </w:rPr>
              <w:t>FAFEF</w:t>
            </w:r>
            <w:proofErr w:type="spellEnd"/>
            <w:r w:rsidRPr="002C5F41">
              <w:rPr>
                <w:rFonts w:ascii="Arial" w:hAnsi="Arial" w:cs="Arial"/>
                <w:color w:val="000000"/>
                <w:lang w:eastAsia="es-MX"/>
              </w:rPr>
              <w:t>)</w:t>
            </w:r>
          </w:p>
        </w:tc>
        <w:tc>
          <w:tcPr>
            <w:tcW w:w="2835" w:type="dxa"/>
            <w:tcBorders>
              <w:top w:val="single" w:sz="4" w:space="0" w:color="auto"/>
              <w:left w:val="nil"/>
              <w:bottom w:val="single" w:sz="8" w:space="0" w:color="auto"/>
              <w:right w:val="single" w:sz="8" w:space="0" w:color="auto"/>
            </w:tcBorders>
            <w:shd w:val="clear" w:color="auto" w:fill="auto"/>
            <w:noWrap/>
            <w:vAlign w:val="center"/>
            <w:hideMark/>
          </w:tcPr>
          <w:p w14:paraId="60EB958F"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1,825,260,142.00</w:t>
            </w:r>
          </w:p>
        </w:tc>
      </w:tr>
      <w:tr w:rsidR="00780D0F" w:rsidRPr="002C5F41" w14:paraId="0E86BA71"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40F35E98"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Convenios</w:t>
            </w:r>
          </w:p>
        </w:tc>
        <w:tc>
          <w:tcPr>
            <w:tcW w:w="2835" w:type="dxa"/>
            <w:tcBorders>
              <w:top w:val="nil"/>
              <w:left w:val="nil"/>
              <w:bottom w:val="single" w:sz="8" w:space="0" w:color="auto"/>
              <w:right w:val="single" w:sz="8" w:space="0" w:color="auto"/>
            </w:tcBorders>
            <w:shd w:val="clear" w:color="000000" w:fill="EDEDED"/>
            <w:noWrap/>
            <w:vAlign w:val="center"/>
            <w:hideMark/>
          </w:tcPr>
          <w:p w14:paraId="5380C808"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4418CABE"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1AB4B3A"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Educación</w:t>
            </w:r>
          </w:p>
        </w:tc>
        <w:tc>
          <w:tcPr>
            <w:tcW w:w="2835" w:type="dxa"/>
            <w:tcBorders>
              <w:top w:val="nil"/>
              <w:left w:val="nil"/>
              <w:bottom w:val="single" w:sz="8" w:space="0" w:color="auto"/>
              <w:right w:val="single" w:sz="8" w:space="0" w:color="auto"/>
            </w:tcBorders>
            <w:shd w:val="clear" w:color="auto" w:fill="auto"/>
            <w:noWrap/>
            <w:vAlign w:val="center"/>
            <w:hideMark/>
          </w:tcPr>
          <w:p w14:paraId="0371E988"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2F39EAA3"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626A7AE"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Salud</w:t>
            </w:r>
          </w:p>
        </w:tc>
        <w:tc>
          <w:tcPr>
            <w:tcW w:w="2835" w:type="dxa"/>
            <w:tcBorders>
              <w:top w:val="nil"/>
              <w:left w:val="nil"/>
              <w:bottom w:val="single" w:sz="8" w:space="0" w:color="auto"/>
              <w:right w:val="single" w:sz="8" w:space="0" w:color="auto"/>
            </w:tcBorders>
            <w:shd w:val="clear" w:color="auto" w:fill="auto"/>
            <w:noWrap/>
            <w:vAlign w:val="center"/>
            <w:hideMark/>
          </w:tcPr>
          <w:p w14:paraId="13FB6AB9"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40EBB212"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5BEB483A"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Comunicaciones y Transportes</w:t>
            </w:r>
          </w:p>
        </w:tc>
        <w:tc>
          <w:tcPr>
            <w:tcW w:w="2835" w:type="dxa"/>
            <w:tcBorders>
              <w:top w:val="nil"/>
              <w:left w:val="nil"/>
              <w:bottom w:val="single" w:sz="8" w:space="0" w:color="auto"/>
              <w:right w:val="single" w:sz="8" w:space="0" w:color="auto"/>
            </w:tcBorders>
            <w:shd w:val="clear" w:color="auto" w:fill="auto"/>
            <w:noWrap/>
            <w:vAlign w:val="center"/>
            <w:hideMark/>
          </w:tcPr>
          <w:p w14:paraId="6C3ED12E"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3580D2C7"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D1B26CB"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Económico</w:t>
            </w:r>
          </w:p>
        </w:tc>
        <w:tc>
          <w:tcPr>
            <w:tcW w:w="2835" w:type="dxa"/>
            <w:tcBorders>
              <w:top w:val="nil"/>
              <w:left w:val="nil"/>
              <w:bottom w:val="single" w:sz="8" w:space="0" w:color="auto"/>
              <w:right w:val="single" w:sz="8" w:space="0" w:color="auto"/>
            </w:tcBorders>
            <w:shd w:val="clear" w:color="auto" w:fill="auto"/>
            <w:noWrap/>
            <w:vAlign w:val="center"/>
            <w:hideMark/>
          </w:tcPr>
          <w:p w14:paraId="05AC13D0"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F542C44"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A22E952"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Social y Humano</w:t>
            </w:r>
          </w:p>
        </w:tc>
        <w:tc>
          <w:tcPr>
            <w:tcW w:w="2835" w:type="dxa"/>
            <w:tcBorders>
              <w:top w:val="nil"/>
              <w:left w:val="nil"/>
              <w:bottom w:val="single" w:sz="8" w:space="0" w:color="auto"/>
              <w:right w:val="single" w:sz="8" w:space="0" w:color="auto"/>
            </w:tcBorders>
            <w:shd w:val="clear" w:color="auto" w:fill="auto"/>
            <w:noWrap/>
            <w:vAlign w:val="center"/>
            <w:hideMark/>
          </w:tcPr>
          <w:p w14:paraId="185DBE24"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1D48197B"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B33079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Seguridad</w:t>
            </w:r>
          </w:p>
        </w:tc>
        <w:tc>
          <w:tcPr>
            <w:tcW w:w="2835" w:type="dxa"/>
            <w:tcBorders>
              <w:top w:val="nil"/>
              <w:left w:val="nil"/>
              <w:bottom w:val="single" w:sz="8" w:space="0" w:color="auto"/>
              <w:right w:val="single" w:sz="8" w:space="0" w:color="auto"/>
            </w:tcBorders>
            <w:shd w:val="clear" w:color="auto" w:fill="auto"/>
            <w:noWrap/>
            <w:vAlign w:val="center"/>
            <w:hideMark/>
          </w:tcPr>
          <w:p w14:paraId="2FB7125C"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778C074"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206572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Medio Ambiente</w:t>
            </w:r>
          </w:p>
        </w:tc>
        <w:tc>
          <w:tcPr>
            <w:tcW w:w="2835" w:type="dxa"/>
            <w:tcBorders>
              <w:top w:val="nil"/>
              <w:left w:val="nil"/>
              <w:bottom w:val="single" w:sz="8" w:space="0" w:color="auto"/>
              <w:right w:val="single" w:sz="8" w:space="0" w:color="auto"/>
            </w:tcBorders>
            <w:shd w:val="clear" w:color="auto" w:fill="auto"/>
            <w:noWrap/>
            <w:vAlign w:val="center"/>
            <w:hideMark/>
          </w:tcPr>
          <w:p w14:paraId="784A5A57"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18A1751C"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4E7BFDED"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Deporte</w:t>
            </w:r>
          </w:p>
        </w:tc>
        <w:tc>
          <w:tcPr>
            <w:tcW w:w="2835" w:type="dxa"/>
            <w:tcBorders>
              <w:top w:val="nil"/>
              <w:left w:val="nil"/>
              <w:bottom w:val="single" w:sz="8" w:space="0" w:color="auto"/>
              <w:right w:val="single" w:sz="8" w:space="0" w:color="auto"/>
            </w:tcBorders>
            <w:shd w:val="clear" w:color="auto" w:fill="auto"/>
            <w:noWrap/>
            <w:vAlign w:val="center"/>
            <w:hideMark/>
          </w:tcPr>
          <w:p w14:paraId="05C95A7F"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6D2D5BF1"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51664C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Obra Pública</w:t>
            </w:r>
          </w:p>
        </w:tc>
        <w:tc>
          <w:tcPr>
            <w:tcW w:w="2835" w:type="dxa"/>
            <w:tcBorders>
              <w:top w:val="nil"/>
              <w:left w:val="nil"/>
              <w:bottom w:val="single" w:sz="8" w:space="0" w:color="auto"/>
              <w:right w:val="single" w:sz="8" w:space="0" w:color="auto"/>
            </w:tcBorders>
            <w:shd w:val="clear" w:color="auto" w:fill="auto"/>
            <w:noWrap/>
            <w:vAlign w:val="center"/>
            <w:hideMark/>
          </w:tcPr>
          <w:p w14:paraId="4724E336"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F553BE5"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02D17C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Agricultura, Ganadería y Pesca</w:t>
            </w:r>
          </w:p>
        </w:tc>
        <w:tc>
          <w:tcPr>
            <w:tcW w:w="2835" w:type="dxa"/>
            <w:tcBorders>
              <w:top w:val="nil"/>
              <w:left w:val="nil"/>
              <w:bottom w:val="single" w:sz="8" w:space="0" w:color="auto"/>
              <w:right w:val="single" w:sz="8" w:space="0" w:color="auto"/>
            </w:tcBorders>
            <w:shd w:val="clear" w:color="auto" w:fill="auto"/>
            <w:noWrap/>
            <w:vAlign w:val="center"/>
            <w:hideMark/>
          </w:tcPr>
          <w:p w14:paraId="5CF5DE12"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2BD13441"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3E7A2DF"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Fiscalización del Gasto Federalizado</w:t>
            </w:r>
          </w:p>
        </w:tc>
        <w:tc>
          <w:tcPr>
            <w:tcW w:w="2835" w:type="dxa"/>
            <w:tcBorders>
              <w:top w:val="nil"/>
              <w:left w:val="nil"/>
              <w:bottom w:val="single" w:sz="8" w:space="0" w:color="auto"/>
              <w:right w:val="single" w:sz="8" w:space="0" w:color="auto"/>
            </w:tcBorders>
            <w:shd w:val="clear" w:color="auto" w:fill="auto"/>
            <w:noWrap/>
            <w:vAlign w:val="center"/>
            <w:hideMark/>
          </w:tcPr>
          <w:p w14:paraId="4860275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08764560"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13CE75B0"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Turismo</w:t>
            </w:r>
          </w:p>
        </w:tc>
        <w:tc>
          <w:tcPr>
            <w:tcW w:w="2835" w:type="dxa"/>
            <w:tcBorders>
              <w:top w:val="nil"/>
              <w:left w:val="nil"/>
              <w:bottom w:val="single" w:sz="8" w:space="0" w:color="auto"/>
              <w:right w:val="single" w:sz="8" w:space="0" w:color="auto"/>
            </w:tcBorders>
            <w:shd w:val="clear" w:color="auto" w:fill="auto"/>
            <w:noWrap/>
            <w:vAlign w:val="center"/>
            <w:hideMark/>
          </w:tcPr>
          <w:p w14:paraId="72858CC5"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6C434F99"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C502541"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Aportaciones privadas para proyectos</w:t>
            </w:r>
          </w:p>
        </w:tc>
        <w:tc>
          <w:tcPr>
            <w:tcW w:w="2835" w:type="dxa"/>
            <w:tcBorders>
              <w:top w:val="nil"/>
              <w:left w:val="nil"/>
              <w:bottom w:val="single" w:sz="8" w:space="0" w:color="auto"/>
              <w:right w:val="single" w:sz="8" w:space="0" w:color="auto"/>
            </w:tcBorders>
            <w:shd w:val="clear" w:color="auto" w:fill="auto"/>
            <w:noWrap/>
            <w:vAlign w:val="center"/>
            <w:hideMark/>
          </w:tcPr>
          <w:p w14:paraId="69B1FCFC"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3E732A05"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D518AAE"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Capacitación y Profesionalización</w:t>
            </w:r>
          </w:p>
        </w:tc>
        <w:tc>
          <w:tcPr>
            <w:tcW w:w="2835" w:type="dxa"/>
            <w:tcBorders>
              <w:top w:val="nil"/>
              <w:left w:val="nil"/>
              <w:bottom w:val="single" w:sz="8" w:space="0" w:color="auto"/>
              <w:right w:val="single" w:sz="8" w:space="0" w:color="auto"/>
            </w:tcBorders>
            <w:shd w:val="clear" w:color="auto" w:fill="auto"/>
            <w:noWrap/>
            <w:vAlign w:val="center"/>
            <w:hideMark/>
          </w:tcPr>
          <w:p w14:paraId="6C4216D7"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95B0BC7"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31FDBA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Aportaciones de Organismos Descentralizados</w:t>
            </w:r>
          </w:p>
        </w:tc>
        <w:tc>
          <w:tcPr>
            <w:tcW w:w="2835" w:type="dxa"/>
            <w:tcBorders>
              <w:top w:val="nil"/>
              <w:left w:val="nil"/>
              <w:bottom w:val="single" w:sz="8" w:space="0" w:color="auto"/>
              <w:right w:val="single" w:sz="8" w:space="0" w:color="auto"/>
            </w:tcBorders>
            <w:shd w:val="clear" w:color="auto" w:fill="auto"/>
            <w:noWrap/>
            <w:vAlign w:val="center"/>
            <w:hideMark/>
          </w:tcPr>
          <w:p w14:paraId="583A8DB4"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7B59AF88"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14DFC5E2"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Incentivos Derivados de la Colaboración Fiscal</w:t>
            </w:r>
          </w:p>
        </w:tc>
        <w:tc>
          <w:tcPr>
            <w:tcW w:w="2835" w:type="dxa"/>
            <w:tcBorders>
              <w:top w:val="nil"/>
              <w:left w:val="nil"/>
              <w:bottom w:val="single" w:sz="8" w:space="0" w:color="auto"/>
              <w:right w:val="single" w:sz="8" w:space="0" w:color="auto"/>
            </w:tcBorders>
            <w:shd w:val="clear" w:color="000000" w:fill="EDEDED"/>
            <w:noWrap/>
            <w:vAlign w:val="center"/>
            <w:hideMark/>
          </w:tcPr>
          <w:p w14:paraId="67B73ADA"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595,867,429.00</w:t>
            </w:r>
          </w:p>
        </w:tc>
      </w:tr>
      <w:tr w:rsidR="00780D0F" w:rsidRPr="002C5F41" w14:paraId="5BD488F3"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AAFFBA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 de Compensación del Impuesto sobre Automóviles Nuevos</w:t>
            </w:r>
          </w:p>
        </w:tc>
        <w:tc>
          <w:tcPr>
            <w:tcW w:w="2835" w:type="dxa"/>
            <w:tcBorders>
              <w:top w:val="nil"/>
              <w:left w:val="nil"/>
              <w:bottom w:val="single" w:sz="8" w:space="0" w:color="auto"/>
              <w:right w:val="single" w:sz="8" w:space="0" w:color="auto"/>
            </w:tcBorders>
            <w:shd w:val="clear" w:color="auto" w:fill="auto"/>
            <w:noWrap/>
            <w:vAlign w:val="center"/>
            <w:hideMark/>
          </w:tcPr>
          <w:p w14:paraId="0C560A44"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31,854,410.00</w:t>
            </w:r>
          </w:p>
        </w:tc>
      </w:tr>
      <w:tr w:rsidR="00780D0F" w:rsidRPr="002C5F41" w14:paraId="64196200"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396BF9A"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Ingresos derivados de la colaboración administrativa</w:t>
            </w:r>
          </w:p>
        </w:tc>
        <w:tc>
          <w:tcPr>
            <w:tcW w:w="2835" w:type="dxa"/>
            <w:tcBorders>
              <w:top w:val="nil"/>
              <w:left w:val="nil"/>
              <w:bottom w:val="single" w:sz="8" w:space="0" w:color="auto"/>
              <w:right w:val="single" w:sz="8" w:space="0" w:color="auto"/>
            </w:tcBorders>
            <w:shd w:val="clear" w:color="auto" w:fill="auto"/>
            <w:noWrap/>
            <w:vAlign w:val="center"/>
            <w:hideMark/>
          </w:tcPr>
          <w:p w14:paraId="49412AF2"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516,718,873.00</w:t>
            </w:r>
          </w:p>
        </w:tc>
      </w:tr>
      <w:tr w:rsidR="00780D0F" w:rsidRPr="002C5F41" w14:paraId="787F4873"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CD17CE8"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lastRenderedPageBreak/>
              <w:t>Impuestos abrogados o derogados pendientes de liquidar</w:t>
            </w:r>
          </w:p>
        </w:tc>
        <w:tc>
          <w:tcPr>
            <w:tcW w:w="2835" w:type="dxa"/>
            <w:tcBorders>
              <w:top w:val="nil"/>
              <w:left w:val="nil"/>
              <w:bottom w:val="single" w:sz="8" w:space="0" w:color="auto"/>
              <w:right w:val="single" w:sz="8" w:space="0" w:color="auto"/>
            </w:tcBorders>
            <w:shd w:val="clear" w:color="auto" w:fill="auto"/>
            <w:noWrap/>
            <w:vAlign w:val="center"/>
            <w:hideMark/>
          </w:tcPr>
          <w:p w14:paraId="4BB1A12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3,311,400.00</w:t>
            </w:r>
          </w:p>
        </w:tc>
      </w:tr>
      <w:tr w:rsidR="00780D0F" w:rsidRPr="002C5F41" w14:paraId="07D0969A"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460B5F56"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Recargos</w:t>
            </w:r>
          </w:p>
        </w:tc>
        <w:tc>
          <w:tcPr>
            <w:tcW w:w="2835" w:type="dxa"/>
            <w:tcBorders>
              <w:top w:val="nil"/>
              <w:left w:val="nil"/>
              <w:bottom w:val="single" w:sz="8" w:space="0" w:color="auto"/>
              <w:right w:val="single" w:sz="8" w:space="0" w:color="auto"/>
            </w:tcBorders>
            <w:shd w:val="clear" w:color="auto" w:fill="auto"/>
            <w:noWrap/>
            <w:vAlign w:val="center"/>
            <w:hideMark/>
          </w:tcPr>
          <w:p w14:paraId="3D552DF3"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15,627,702.00</w:t>
            </w:r>
          </w:p>
        </w:tc>
      </w:tr>
      <w:tr w:rsidR="00780D0F" w:rsidRPr="002C5F41" w14:paraId="40CA7B8C"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82E44D2"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Multas</w:t>
            </w:r>
          </w:p>
        </w:tc>
        <w:tc>
          <w:tcPr>
            <w:tcW w:w="2835" w:type="dxa"/>
            <w:tcBorders>
              <w:top w:val="nil"/>
              <w:left w:val="nil"/>
              <w:bottom w:val="single" w:sz="8" w:space="0" w:color="auto"/>
              <w:right w:val="single" w:sz="8" w:space="0" w:color="auto"/>
            </w:tcBorders>
            <w:shd w:val="clear" w:color="auto" w:fill="auto"/>
            <w:noWrap/>
            <w:vAlign w:val="center"/>
            <w:hideMark/>
          </w:tcPr>
          <w:p w14:paraId="521312F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18,026,261.00</w:t>
            </w:r>
          </w:p>
        </w:tc>
      </w:tr>
      <w:tr w:rsidR="00780D0F" w:rsidRPr="002C5F41" w14:paraId="236372BD"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2F2751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Gastos de Ejecución</w:t>
            </w:r>
          </w:p>
        </w:tc>
        <w:tc>
          <w:tcPr>
            <w:tcW w:w="2835" w:type="dxa"/>
            <w:tcBorders>
              <w:top w:val="nil"/>
              <w:left w:val="nil"/>
              <w:bottom w:val="single" w:sz="8" w:space="0" w:color="auto"/>
              <w:right w:val="single" w:sz="8" w:space="0" w:color="auto"/>
            </w:tcBorders>
            <w:shd w:val="clear" w:color="auto" w:fill="auto"/>
            <w:noWrap/>
            <w:vAlign w:val="center"/>
            <w:hideMark/>
          </w:tcPr>
          <w:p w14:paraId="1A82B4EC"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2,008,395.00</w:t>
            </w:r>
          </w:p>
        </w:tc>
      </w:tr>
      <w:tr w:rsidR="00780D0F" w:rsidRPr="002C5F41" w14:paraId="715C5EF6"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9358E8F"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Honorarios Federales</w:t>
            </w:r>
          </w:p>
        </w:tc>
        <w:tc>
          <w:tcPr>
            <w:tcW w:w="2835" w:type="dxa"/>
            <w:tcBorders>
              <w:top w:val="nil"/>
              <w:left w:val="nil"/>
              <w:bottom w:val="single" w:sz="8" w:space="0" w:color="auto"/>
              <w:right w:val="single" w:sz="8" w:space="0" w:color="auto"/>
            </w:tcBorders>
            <w:shd w:val="clear" w:color="auto" w:fill="auto"/>
            <w:noWrap/>
            <w:vAlign w:val="center"/>
            <w:hideMark/>
          </w:tcPr>
          <w:p w14:paraId="56AACBE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8,320,388.00</w:t>
            </w:r>
          </w:p>
        </w:tc>
      </w:tr>
      <w:tr w:rsidR="00780D0F" w:rsidRPr="002C5F41" w14:paraId="7F2C553C"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7FB3F69A"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Fondos Distintos de Aportaciones</w:t>
            </w:r>
          </w:p>
        </w:tc>
        <w:tc>
          <w:tcPr>
            <w:tcW w:w="2835" w:type="dxa"/>
            <w:tcBorders>
              <w:top w:val="nil"/>
              <w:left w:val="nil"/>
              <w:bottom w:val="single" w:sz="8" w:space="0" w:color="auto"/>
              <w:right w:val="single" w:sz="8" w:space="0" w:color="auto"/>
            </w:tcBorders>
            <w:shd w:val="clear" w:color="000000" w:fill="EDEDED"/>
            <w:noWrap/>
            <w:vAlign w:val="center"/>
            <w:hideMark/>
          </w:tcPr>
          <w:p w14:paraId="3608803C"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13,012,131.00</w:t>
            </w:r>
          </w:p>
        </w:tc>
      </w:tr>
      <w:tr w:rsidR="00780D0F" w:rsidRPr="002C5F41" w14:paraId="6C570309"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2CEDE06"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Fondo para las Entidades Federativas y Municipios Productores de Hidrocarburos</w:t>
            </w:r>
          </w:p>
        </w:tc>
        <w:tc>
          <w:tcPr>
            <w:tcW w:w="2835" w:type="dxa"/>
            <w:tcBorders>
              <w:top w:val="nil"/>
              <w:left w:val="nil"/>
              <w:bottom w:val="single" w:sz="8" w:space="0" w:color="auto"/>
              <w:right w:val="single" w:sz="8" w:space="0" w:color="auto"/>
            </w:tcBorders>
            <w:shd w:val="clear" w:color="auto" w:fill="auto"/>
            <w:noWrap/>
            <w:vAlign w:val="center"/>
            <w:hideMark/>
          </w:tcPr>
          <w:p w14:paraId="3528768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13,012,131.00</w:t>
            </w:r>
          </w:p>
        </w:tc>
      </w:tr>
      <w:tr w:rsidR="00780D0F" w:rsidRPr="002C5F41" w14:paraId="34B790D5"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11C57BE"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Otros Fondos</w:t>
            </w:r>
          </w:p>
        </w:tc>
        <w:tc>
          <w:tcPr>
            <w:tcW w:w="2835" w:type="dxa"/>
            <w:tcBorders>
              <w:top w:val="nil"/>
              <w:left w:val="nil"/>
              <w:bottom w:val="single" w:sz="8" w:space="0" w:color="auto"/>
              <w:right w:val="single" w:sz="8" w:space="0" w:color="auto"/>
            </w:tcBorders>
            <w:shd w:val="clear" w:color="auto" w:fill="auto"/>
            <w:noWrap/>
            <w:vAlign w:val="center"/>
            <w:hideMark/>
          </w:tcPr>
          <w:p w14:paraId="175F0E62"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05558946" w14:textId="77777777" w:rsidTr="00296B6A">
        <w:trPr>
          <w:trHeight w:val="527"/>
        </w:trPr>
        <w:tc>
          <w:tcPr>
            <w:tcW w:w="4678" w:type="dxa"/>
            <w:tcBorders>
              <w:top w:val="nil"/>
              <w:left w:val="single" w:sz="8" w:space="0" w:color="auto"/>
              <w:bottom w:val="single" w:sz="8" w:space="0" w:color="auto"/>
              <w:right w:val="single" w:sz="8" w:space="0" w:color="auto"/>
            </w:tcBorders>
            <w:shd w:val="clear" w:color="000000" w:fill="D4C19C"/>
            <w:vAlign w:val="center"/>
            <w:hideMark/>
          </w:tcPr>
          <w:p w14:paraId="013BFCF2" w14:textId="77777777" w:rsidR="00780D0F" w:rsidRPr="002C5F41" w:rsidRDefault="00780D0F" w:rsidP="004215F5">
            <w:pPr>
              <w:ind w:right="277"/>
              <w:rPr>
                <w:rFonts w:ascii="Arial" w:hAnsi="Arial" w:cs="Arial"/>
                <w:b/>
                <w:color w:val="000000"/>
                <w:lang w:eastAsia="es-MX"/>
              </w:rPr>
            </w:pPr>
            <w:r w:rsidRPr="002C5F41">
              <w:rPr>
                <w:rFonts w:ascii="Arial" w:hAnsi="Arial" w:cs="Arial"/>
                <w:b/>
                <w:color w:val="000000"/>
                <w:lang w:eastAsia="es-MX"/>
              </w:rPr>
              <w:t>Transferencias, Asignaciones, Subsidios y Subvenciones, y Pensiones y Jubilaciones</w:t>
            </w:r>
          </w:p>
        </w:tc>
        <w:tc>
          <w:tcPr>
            <w:tcW w:w="2835" w:type="dxa"/>
            <w:tcBorders>
              <w:top w:val="nil"/>
              <w:left w:val="nil"/>
              <w:bottom w:val="single" w:sz="8" w:space="0" w:color="auto"/>
              <w:right w:val="single" w:sz="8" w:space="0" w:color="auto"/>
            </w:tcBorders>
            <w:shd w:val="clear" w:color="000000" w:fill="D4C19C"/>
            <w:noWrap/>
            <w:vAlign w:val="center"/>
            <w:hideMark/>
          </w:tcPr>
          <w:p w14:paraId="756380EA" w14:textId="77777777" w:rsidR="00780D0F" w:rsidRPr="002C5F41" w:rsidRDefault="00780D0F" w:rsidP="004215F5">
            <w:pPr>
              <w:ind w:right="277"/>
              <w:jc w:val="right"/>
              <w:rPr>
                <w:rFonts w:ascii="Arial" w:hAnsi="Arial" w:cs="Arial"/>
                <w:b/>
                <w:color w:val="000000"/>
                <w:lang w:eastAsia="es-MX"/>
              </w:rPr>
            </w:pPr>
            <w:r w:rsidRPr="002C5F41">
              <w:rPr>
                <w:rFonts w:ascii="Arial" w:hAnsi="Arial" w:cs="Arial"/>
                <w:b/>
                <w:color w:val="000000"/>
                <w:lang w:eastAsia="es-MX"/>
              </w:rPr>
              <w:t>3,374,006,376.00</w:t>
            </w:r>
          </w:p>
        </w:tc>
      </w:tr>
      <w:tr w:rsidR="00780D0F" w:rsidRPr="002C5F41" w14:paraId="68D62936"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3D7FEF9D"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Transferencias y Asignaciones</w:t>
            </w:r>
          </w:p>
        </w:tc>
        <w:tc>
          <w:tcPr>
            <w:tcW w:w="2835" w:type="dxa"/>
            <w:tcBorders>
              <w:top w:val="nil"/>
              <w:left w:val="nil"/>
              <w:bottom w:val="single" w:sz="8" w:space="0" w:color="auto"/>
              <w:right w:val="single" w:sz="8" w:space="0" w:color="auto"/>
            </w:tcBorders>
            <w:shd w:val="clear" w:color="000000" w:fill="EDEDED"/>
            <w:noWrap/>
            <w:vAlign w:val="center"/>
            <w:hideMark/>
          </w:tcPr>
          <w:p w14:paraId="701821D0"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7DD17288" w14:textId="77777777" w:rsidTr="00780D0F">
        <w:trPr>
          <w:trHeight w:val="316"/>
        </w:trPr>
        <w:tc>
          <w:tcPr>
            <w:tcW w:w="4678" w:type="dxa"/>
            <w:tcBorders>
              <w:top w:val="nil"/>
              <w:left w:val="single" w:sz="8" w:space="0" w:color="auto"/>
              <w:bottom w:val="single" w:sz="4" w:space="0" w:color="auto"/>
              <w:right w:val="single" w:sz="8" w:space="0" w:color="auto"/>
            </w:tcBorders>
            <w:shd w:val="clear" w:color="auto" w:fill="auto"/>
            <w:vAlign w:val="center"/>
            <w:hideMark/>
          </w:tcPr>
          <w:p w14:paraId="7AF7F82C"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Recursos Municipales para Obra Pública</w:t>
            </w:r>
          </w:p>
        </w:tc>
        <w:tc>
          <w:tcPr>
            <w:tcW w:w="2835" w:type="dxa"/>
            <w:tcBorders>
              <w:top w:val="nil"/>
              <w:left w:val="nil"/>
              <w:bottom w:val="single" w:sz="4" w:space="0" w:color="auto"/>
              <w:right w:val="single" w:sz="8" w:space="0" w:color="auto"/>
            </w:tcBorders>
            <w:shd w:val="clear" w:color="auto" w:fill="auto"/>
            <w:noWrap/>
            <w:vAlign w:val="center"/>
            <w:hideMark/>
          </w:tcPr>
          <w:p w14:paraId="15F89DFB"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7298C6F5" w14:textId="77777777" w:rsidTr="00780D0F">
        <w:trPr>
          <w:trHeight w:val="316"/>
        </w:trPr>
        <w:tc>
          <w:tcPr>
            <w:tcW w:w="46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723CF21"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Recursos de Beneficiarios para Obra Pública</w:t>
            </w:r>
          </w:p>
        </w:tc>
        <w:tc>
          <w:tcPr>
            <w:tcW w:w="2835" w:type="dxa"/>
            <w:tcBorders>
              <w:top w:val="single" w:sz="4" w:space="0" w:color="auto"/>
              <w:left w:val="nil"/>
              <w:bottom w:val="single" w:sz="8" w:space="0" w:color="auto"/>
              <w:right w:val="single" w:sz="8" w:space="0" w:color="auto"/>
            </w:tcBorders>
            <w:shd w:val="clear" w:color="auto" w:fill="auto"/>
            <w:noWrap/>
            <w:vAlign w:val="center"/>
            <w:hideMark/>
          </w:tcPr>
          <w:p w14:paraId="63CE0B6A"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7B18DBA2"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6A15A2F5"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Subsidios y Subvenciones</w:t>
            </w:r>
          </w:p>
        </w:tc>
        <w:tc>
          <w:tcPr>
            <w:tcW w:w="2835" w:type="dxa"/>
            <w:tcBorders>
              <w:top w:val="nil"/>
              <w:left w:val="nil"/>
              <w:bottom w:val="single" w:sz="8" w:space="0" w:color="auto"/>
              <w:right w:val="single" w:sz="8" w:space="0" w:color="auto"/>
            </w:tcBorders>
            <w:shd w:val="clear" w:color="000000" w:fill="EDEDED"/>
            <w:noWrap/>
            <w:vAlign w:val="center"/>
            <w:hideMark/>
          </w:tcPr>
          <w:p w14:paraId="5B1977E1"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3,374,006,376.00</w:t>
            </w:r>
          </w:p>
        </w:tc>
      </w:tr>
      <w:tr w:rsidR="00780D0F" w:rsidRPr="002C5F41" w14:paraId="4266B31E"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3AEE172"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Subsidios Federales</w:t>
            </w:r>
          </w:p>
        </w:tc>
        <w:tc>
          <w:tcPr>
            <w:tcW w:w="2835" w:type="dxa"/>
            <w:tcBorders>
              <w:top w:val="nil"/>
              <w:left w:val="nil"/>
              <w:bottom w:val="single" w:sz="8" w:space="0" w:color="auto"/>
              <w:right w:val="single" w:sz="8" w:space="0" w:color="auto"/>
            </w:tcBorders>
            <w:shd w:val="clear" w:color="auto" w:fill="auto"/>
            <w:noWrap/>
            <w:vAlign w:val="center"/>
            <w:hideMark/>
          </w:tcPr>
          <w:p w14:paraId="670B952C"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3,374,006,376.00</w:t>
            </w:r>
          </w:p>
        </w:tc>
      </w:tr>
      <w:tr w:rsidR="00780D0F" w:rsidRPr="002C5F41" w14:paraId="3A46F91D"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8F26295"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Fideicomisos</w:t>
            </w:r>
          </w:p>
        </w:tc>
        <w:tc>
          <w:tcPr>
            <w:tcW w:w="2835" w:type="dxa"/>
            <w:tcBorders>
              <w:top w:val="nil"/>
              <w:left w:val="nil"/>
              <w:bottom w:val="single" w:sz="8" w:space="0" w:color="auto"/>
              <w:right w:val="single" w:sz="8" w:space="0" w:color="auto"/>
            </w:tcBorders>
            <w:shd w:val="clear" w:color="auto" w:fill="auto"/>
            <w:noWrap/>
            <w:vAlign w:val="center"/>
            <w:hideMark/>
          </w:tcPr>
          <w:p w14:paraId="05BCE26C"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22B1516D"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4FCFA9FF"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Pensiones y Jubilaciones</w:t>
            </w:r>
          </w:p>
        </w:tc>
        <w:tc>
          <w:tcPr>
            <w:tcW w:w="2835" w:type="dxa"/>
            <w:tcBorders>
              <w:top w:val="nil"/>
              <w:left w:val="nil"/>
              <w:bottom w:val="single" w:sz="8" w:space="0" w:color="auto"/>
              <w:right w:val="single" w:sz="8" w:space="0" w:color="auto"/>
            </w:tcBorders>
            <w:shd w:val="clear" w:color="000000" w:fill="EDEDED"/>
            <w:noWrap/>
            <w:vAlign w:val="center"/>
            <w:hideMark/>
          </w:tcPr>
          <w:p w14:paraId="6CB97B05"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48BF8E9B" w14:textId="77777777" w:rsidTr="00296B6A">
        <w:trPr>
          <w:trHeight w:val="527"/>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078D7793"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Transferencias del Fondo Mexicano del Petróleo para la Estabilización y el Desarrollo</w:t>
            </w:r>
          </w:p>
        </w:tc>
        <w:tc>
          <w:tcPr>
            <w:tcW w:w="2835" w:type="dxa"/>
            <w:tcBorders>
              <w:top w:val="nil"/>
              <w:left w:val="nil"/>
              <w:bottom w:val="single" w:sz="8" w:space="0" w:color="auto"/>
              <w:right w:val="single" w:sz="8" w:space="0" w:color="auto"/>
            </w:tcBorders>
            <w:shd w:val="clear" w:color="000000" w:fill="EDEDED"/>
            <w:noWrap/>
            <w:vAlign w:val="center"/>
            <w:hideMark/>
          </w:tcPr>
          <w:p w14:paraId="593105FD"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79EF72CC"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D4C19C"/>
            <w:vAlign w:val="center"/>
            <w:hideMark/>
          </w:tcPr>
          <w:p w14:paraId="77CEA606" w14:textId="77777777" w:rsidR="00780D0F" w:rsidRPr="002C5F41" w:rsidRDefault="00780D0F" w:rsidP="004215F5">
            <w:pPr>
              <w:ind w:right="277"/>
              <w:rPr>
                <w:rFonts w:ascii="Arial" w:hAnsi="Arial" w:cs="Arial"/>
                <w:b/>
                <w:color w:val="000000"/>
                <w:lang w:eastAsia="es-MX"/>
              </w:rPr>
            </w:pPr>
            <w:r w:rsidRPr="002C5F41">
              <w:rPr>
                <w:rFonts w:ascii="Arial" w:hAnsi="Arial" w:cs="Arial"/>
                <w:b/>
                <w:color w:val="000000"/>
                <w:lang w:eastAsia="es-MX"/>
              </w:rPr>
              <w:t>Ingresos Derivados de Financiamientos</w:t>
            </w:r>
          </w:p>
        </w:tc>
        <w:tc>
          <w:tcPr>
            <w:tcW w:w="2835" w:type="dxa"/>
            <w:tcBorders>
              <w:top w:val="nil"/>
              <w:left w:val="nil"/>
              <w:bottom w:val="single" w:sz="8" w:space="0" w:color="auto"/>
              <w:right w:val="single" w:sz="8" w:space="0" w:color="auto"/>
            </w:tcBorders>
            <w:shd w:val="clear" w:color="000000" w:fill="D4C19C"/>
            <w:noWrap/>
            <w:vAlign w:val="center"/>
            <w:hideMark/>
          </w:tcPr>
          <w:p w14:paraId="4DC42C97" w14:textId="77777777" w:rsidR="00780D0F" w:rsidRPr="002C5F41" w:rsidRDefault="00780D0F" w:rsidP="004215F5">
            <w:pPr>
              <w:ind w:right="277"/>
              <w:jc w:val="right"/>
              <w:rPr>
                <w:rFonts w:ascii="Arial" w:hAnsi="Arial" w:cs="Arial"/>
                <w:b/>
                <w:color w:val="000000"/>
                <w:lang w:eastAsia="es-MX"/>
              </w:rPr>
            </w:pPr>
            <w:r w:rsidRPr="002C5F41">
              <w:rPr>
                <w:rFonts w:ascii="Arial" w:hAnsi="Arial" w:cs="Arial"/>
                <w:b/>
                <w:color w:val="000000"/>
                <w:lang w:eastAsia="es-MX"/>
              </w:rPr>
              <w:t>0</w:t>
            </w:r>
          </w:p>
        </w:tc>
      </w:tr>
      <w:tr w:rsidR="00780D0F" w:rsidRPr="002C5F41" w14:paraId="4DD11259"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7213E30F"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Endeudamiento Interno</w:t>
            </w:r>
          </w:p>
        </w:tc>
        <w:tc>
          <w:tcPr>
            <w:tcW w:w="2835" w:type="dxa"/>
            <w:tcBorders>
              <w:top w:val="nil"/>
              <w:left w:val="nil"/>
              <w:bottom w:val="single" w:sz="8" w:space="0" w:color="auto"/>
              <w:right w:val="single" w:sz="8" w:space="0" w:color="auto"/>
            </w:tcBorders>
            <w:shd w:val="clear" w:color="000000" w:fill="EDEDED"/>
            <w:noWrap/>
            <w:vAlign w:val="center"/>
            <w:hideMark/>
          </w:tcPr>
          <w:p w14:paraId="7FFAA677"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25BDA06E"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8B9C88E"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Financiamiento a largo plazo</w:t>
            </w:r>
          </w:p>
        </w:tc>
        <w:tc>
          <w:tcPr>
            <w:tcW w:w="2835" w:type="dxa"/>
            <w:tcBorders>
              <w:top w:val="nil"/>
              <w:left w:val="nil"/>
              <w:bottom w:val="single" w:sz="8" w:space="0" w:color="auto"/>
              <w:right w:val="single" w:sz="8" w:space="0" w:color="auto"/>
            </w:tcBorders>
            <w:shd w:val="clear" w:color="auto" w:fill="auto"/>
            <w:noWrap/>
            <w:vAlign w:val="center"/>
            <w:hideMark/>
          </w:tcPr>
          <w:p w14:paraId="3A4FE2D4"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389FCDDA"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76C06563"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Endeudamiento Externo</w:t>
            </w:r>
          </w:p>
        </w:tc>
        <w:tc>
          <w:tcPr>
            <w:tcW w:w="2835" w:type="dxa"/>
            <w:tcBorders>
              <w:top w:val="nil"/>
              <w:left w:val="nil"/>
              <w:bottom w:val="single" w:sz="8" w:space="0" w:color="auto"/>
              <w:right w:val="single" w:sz="8" w:space="0" w:color="auto"/>
            </w:tcBorders>
            <w:shd w:val="clear" w:color="000000" w:fill="EDEDED"/>
            <w:noWrap/>
            <w:vAlign w:val="center"/>
            <w:hideMark/>
          </w:tcPr>
          <w:p w14:paraId="4DFE8777"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632A37B"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65A8F411"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Financiamiento Interno</w:t>
            </w:r>
          </w:p>
        </w:tc>
        <w:tc>
          <w:tcPr>
            <w:tcW w:w="2835" w:type="dxa"/>
            <w:tcBorders>
              <w:top w:val="nil"/>
              <w:left w:val="nil"/>
              <w:bottom w:val="single" w:sz="8" w:space="0" w:color="auto"/>
              <w:right w:val="single" w:sz="8" w:space="0" w:color="auto"/>
            </w:tcBorders>
            <w:shd w:val="clear" w:color="000000" w:fill="EDEDED"/>
            <w:noWrap/>
            <w:vAlign w:val="center"/>
            <w:hideMark/>
          </w:tcPr>
          <w:p w14:paraId="1DA82225"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6B5AFCED"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9D244C"/>
            <w:vAlign w:val="center"/>
            <w:hideMark/>
          </w:tcPr>
          <w:p w14:paraId="6FB68ECE" w14:textId="77777777" w:rsidR="00780D0F" w:rsidRPr="002C5F41" w:rsidRDefault="00780D0F" w:rsidP="004215F5">
            <w:pPr>
              <w:ind w:right="277"/>
              <w:jc w:val="center"/>
              <w:rPr>
                <w:rFonts w:ascii="Arial" w:hAnsi="Arial" w:cs="Arial"/>
                <w:b/>
                <w:bCs/>
                <w:color w:val="D4C19C"/>
                <w:lang w:eastAsia="es-MX"/>
              </w:rPr>
            </w:pPr>
            <w:r w:rsidRPr="002C5F41">
              <w:rPr>
                <w:rFonts w:ascii="Arial" w:hAnsi="Arial" w:cs="Arial"/>
                <w:b/>
                <w:bCs/>
                <w:color w:val="D4C19C"/>
                <w:lang w:eastAsia="es-MX"/>
              </w:rPr>
              <w:t>Subtotal Sector Central</w:t>
            </w:r>
          </w:p>
        </w:tc>
        <w:tc>
          <w:tcPr>
            <w:tcW w:w="2835" w:type="dxa"/>
            <w:tcBorders>
              <w:top w:val="nil"/>
              <w:left w:val="nil"/>
              <w:bottom w:val="single" w:sz="8" w:space="0" w:color="auto"/>
              <w:right w:val="single" w:sz="8" w:space="0" w:color="auto"/>
            </w:tcBorders>
            <w:shd w:val="clear" w:color="000000" w:fill="9D244C"/>
            <w:noWrap/>
            <w:vAlign w:val="center"/>
            <w:hideMark/>
          </w:tcPr>
          <w:p w14:paraId="49916EF8" w14:textId="77777777" w:rsidR="00780D0F" w:rsidRPr="002C5F41" w:rsidRDefault="00780D0F" w:rsidP="004215F5">
            <w:pPr>
              <w:ind w:right="277"/>
              <w:jc w:val="right"/>
              <w:rPr>
                <w:rFonts w:ascii="Arial" w:hAnsi="Arial" w:cs="Arial"/>
                <w:b/>
                <w:bCs/>
                <w:color w:val="D4C19C"/>
                <w:lang w:eastAsia="es-MX"/>
              </w:rPr>
            </w:pPr>
            <w:r w:rsidRPr="002C5F41">
              <w:rPr>
                <w:rFonts w:ascii="Arial" w:hAnsi="Arial" w:cs="Arial"/>
                <w:b/>
                <w:bCs/>
                <w:color w:val="D4C19C"/>
                <w:lang w:eastAsia="es-MX"/>
              </w:rPr>
              <w:t>68,525,821,186.00</w:t>
            </w:r>
          </w:p>
        </w:tc>
      </w:tr>
      <w:tr w:rsidR="00780D0F" w:rsidRPr="002C5F41" w14:paraId="2A19C84E" w14:textId="77777777" w:rsidTr="00296B6A">
        <w:trPr>
          <w:trHeight w:val="316"/>
        </w:trPr>
        <w:tc>
          <w:tcPr>
            <w:tcW w:w="7513" w:type="dxa"/>
            <w:gridSpan w:val="2"/>
            <w:tcBorders>
              <w:top w:val="nil"/>
              <w:left w:val="single" w:sz="8" w:space="0" w:color="auto"/>
              <w:bottom w:val="single" w:sz="8" w:space="0" w:color="auto"/>
              <w:right w:val="single" w:sz="8" w:space="0" w:color="auto"/>
            </w:tcBorders>
            <w:shd w:val="clear" w:color="auto" w:fill="auto"/>
            <w:noWrap/>
            <w:vAlign w:val="center"/>
            <w:hideMark/>
          </w:tcPr>
          <w:p w14:paraId="1CA61253" w14:textId="77777777" w:rsidR="00780D0F" w:rsidRPr="002C5F41" w:rsidRDefault="00780D0F" w:rsidP="004215F5">
            <w:pPr>
              <w:ind w:right="277"/>
              <w:rPr>
                <w:rFonts w:ascii="Calibri" w:hAnsi="Calibri" w:cs="Calibri"/>
                <w:color w:val="000000"/>
                <w:lang w:eastAsia="es-MX"/>
              </w:rPr>
            </w:pPr>
            <w:r w:rsidRPr="002C5F41">
              <w:rPr>
                <w:rFonts w:ascii="Calibri" w:hAnsi="Calibri" w:cs="Calibri"/>
                <w:color w:val="000000"/>
                <w:lang w:eastAsia="es-MX"/>
              </w:rPr>
              <w:t> </w:t>
            </w:r>
          </w:p>
        </w:tc>
      </w:tr>
      <w:tr w:rsidR="00780D0F" w:rsidRPr="002C5F41" w14:paraId="7625EFED"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D4C19C"/>
            <w:vAlign w:val="center"/>
            <w:hideMark/>
          </w:tcPr>
          <w:p w14:paraId="3A261D1F" w14:textId="77777777" w:rsidR="00780D0F" w:rsidRPr="002C5F41" w:rsidRDefault="00780D0F" w:rsidP="004215F5">
            <w:pPr>
              <w:ind w:right="277"/>
              <w:rPr>
                <w:rFonts w:ascii="Arial" w:hAnsi="Arial" w:cs="Arial"/>
                <w:b/>
                <w:color w:val="000000"/>
                <w:lang w:eastAsia="es-MX"/>
              </w:rPr>
            </w:pPr>
            <w:r w:rsidRPr="002C5F41">
              <w:rPr>
                <w:rFonts w:ascii="Arial" w:hAnsi="Arial" w:cs="Arial"/>
                <w:b/>
                <w:color w:val="000000"/>
                <w:lang w:eastAsia="es-MX"/>
              </w:rPr>
              <w:t>Productos</w:t>
            </w:r>
          </w:p>
        </w:tc>
        <w:tc>
          <w:tcPr>
            <w:tcW w:w="2835" w:type="dxa"/>
            <w:tcBorders>
              <w:top w:val="nil"/>
              <w:left w:val="nil"/>
              <w:bottom w:val="single" w:sz="8" w:space="0" w:color="auto"/>
              <w:right w:val="single" w:sz="8" w:space="0" w:color="auto"/>
            </w:tcBorders>
            <w:shd w:val="clear" w:color="000000" w:fill="D4C19C"/>
            <w:noWrap/>
            <w:vAlign w:val="center"/>
            <w:hideMark/>
          </w:tcPr>
          <w:p w14:paraId="6337FE5C" w14:textId="77777777" w:rsidR="00780D0F" w:rsidRPr="002C5F41" w:rsidRDefault="00780D0F" w:rsidP="004215F5">
            <w:pPr>
              <w:ind w:right="277"/>
              <w:jc w:val="right"/>
              <w:rPr>
                <w:rFonts w:ascii="Arial" w:hAnsi="Arial" w:cs="Arial"/>
                <w:b/>
                <w:color w:val="000000"/>
                <w:lang w:eastAsia="es-MX"/>
              </w:rPr>
            </w:pPr>
            <w:r w:rsidRPr="002C5F41">
              <w:rPr>
                <w:rFonts w:ascii="Arial" w:hAnsi="Arial" w:cs="Arial"/>
                <w:b/>
                <w:color w:val="000000"/>
                <w:lang w:eastAsia="es-MX"/>
              </w:rPr>
              <w:t>18,000,685.00</w:t>
            </w:r>
          </w:p>
        </w:tc>
      </w:tr>
      <w:tr w:rsidR="00780D0F" w:rsidRPr="002C5F41" w14:paraId="4EEAE3D3"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28725581"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Productos</w:t>
            </w:r>
          </w:p>
        </w:tc>
        <w:tc>
          <w:tcPr>
            <w:tcW w:w="2835" w:type="dxa"/>
            <w:tcBorders>
              <w:top w:val="nil"/>
              <w:left w:val="nil"/>
              <w:bottom w:val="single" w:sz="8" w:space="0" w:color="auto"/>
              <w:right w:val="single" w:sz="8" w:space="0" w:color="auto"/>
            </w:tcBorders>
            <w:shd w:val="clear" w:color="000000" w:fill="EDEDED"/>
            <w:noWrap/>
            <w:vAlign w:val="center"/>
            <w:hideMark/>
          </w:tcPr>
          <w:p w14:paraId="4546F9D3"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18,000,685.00</w:t>
            </w:r>
          </w:p>
        </w:tc>
      </w:tr>
      <w:tr w:rsidR="00780D0F" w:rsidRPr="002C5F41" w14:paraId="67B3E4E7" w14:textId="77777777" w:rsidTr="00296B6A">
        <w:trPr>
          <w:trHeight w:val="316"/>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432FD21"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Intereses Bancarios</w:t>
            </w:r>
          </w:p>
        </w:tc>
        <w:tc>
          <w:tcPr>
            <w:tcW w:w="2835" w:type="dxa"/>
            <w:tcBorders>
              <w:top w:val="nil"/>
              <w:left w:val="nil"/>
              <w:bottom w:val="single" w:sz="8" w:space="0" w:color="auto"/>
              <w:right w:val="single" w:sz="8" w:space="0" w:color="auto"/>
            </w:tcBorders>
            <w:shd w:val="clear" w:color="auto" w:fill="auto"/>
            <w:noWrap/>
            <w:vAlign w:val="center"/>
            <w:hideMark/>
          </w:tcPr>
          <w:p w14:paraId="5325AEE8"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18,000,685.00</w:t>
            </w:r>
          </w:p>
        </w:tc>
      </w:tr>
      <w:tr w:rsidR="00780D0F" w:rsidRPr="002C5F41" w14:paraId="06BBC5B4"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D4C19C"/>
            <w:vAlign w:val="center"/>
            <w:hideMark/>
          </w:tcPr>
          <w:p w14:paraId="7B615DF6" w14:textId="77777777" w:rsidR="00780D0F" w:rsidRPr="002C5F41" w:rsidRDefault="00780D0F" w:rsidP="004215F5">
            <w:pPr>
              <w:ind w:right="277"/>
              <w:rPr>
                <w:rFonts w:ascii="Arial" w:hAnsi="Arial" w:cs="Arial"/>
                <w:b/>
                <w:color w:val="000000"/>
                <w:lang w:eastAsia="es-MX"/>
              </w:rPr>
            </w:pPr>
            <w:r w:rsidRPr="002C5F41">
              <w:rPr>
                <w:rFonts w:ascii="Arial" w:hAnsi="Arial" w:cs="Arial"/>
                <w:b/>
                <w:color w:val="000000"/>
                <w:lang w:eastAsia="es-MX"/>
              </w:rPr>
              <w:t>Ingresos por Ventas de Bienes, Prestación de Servicios y Otros Ingresos</w:t>
            </w:r>
          </w:p>
        </w:tc>
        <w:tc>
          <w:tcPr>
            <w:tcW w:w="2835" w:type="dxa"/>
            <w:tcBorders>
              <w:top w:val="nil"/>
              <w:left w:val="nil"/>
              <w:bottom w:val="single" w:sz="8" w:space="0" w:color="auto"/>
              <w:right w:val="single" w:sz="8" w:space="0" w:color="auto"/>
            </w:tcBorders>
            <w:shd w:val="clear" w:color="000000" w:fill="D4C19C"/>
            <w:noWrap/>
            <w:vAlign w:val="center"/>
            <w:hideMark/>
          </w:tcPr>
          <w:p w14:paraId="615EA3B8" w14:textId="77777777" w:rsidR="00780D0F" w:rsidRPr="002C5F41" w:rsidRDefault="00780D0F" w:rsidP="004215F5">
            <w:pPr>
              <w:ind w:right="277"/>
              <w:jc w:val="right"/>
              <w:rPr>
                <w:rFonts w:ascii="Arial" w:hAnsi="Arial" w:cs="Arial"/>
                <w:b/>
                <w:color w:val="000000"/>
                <w:lang w:eastAsia="es-MX"/>
              </w:rPr>
            </w:pPr>
            <w:r w:rsidRPr="002C5F41">
              <w:rPr>
                <w:rFonts w:ascii="Arial" w:hAnsi="Arial" w:cs="Arial"/>
                <w:b/>
                <w:color w:val="000000"/>
                <w:lang w:eastAsia="es-MX"/>
              </w:rPr>
              <w:t>2,495,733,425.00</w:t>
            </w:r>
          </w:p>
        </w:tc>
      </w:tr>
      <w:tr w:rsidR="00780D0F" w:rsidRPr="002C5F41" w14:paraId="064B6227" w14:textId="77777777" w:rsidTr="00296B6A">
        <w:trPr>
          <w:trHeight w:val="527"/>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6C9C4788"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Ingresos por Venta de Bienes y Prestación de Servicios de Instituciones Públicas de Seguridad Social</w:t>
            </w:r>
          </w:p>
        </w:tc>
        <w:tc>
          <w:tcPr>
            <w:tcW w:w="2835" w:type="dxa"/>
            <w:tcBorders>
              <w:top w:val="nil"/>
              <w:left w:val="nil"/>
              <w:bottom w:val="single" w:sz="8" w:space="0" w:color="auto"/>
              <w:right w:val="single" w:sz="8" w:space="0" w:color="auto"/>
            </w:tcBorders>
            <w:shd w:val="clear" w:color="000000" w:fill="EDEDED"/>
            <w:noWrap/>
            <w:vAlign w:val="center"/>
            <w:hideMark/>
          </w:tcPr>
          <w:p w14:paraId="42710EA3"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11284AAA" w14:textId="77777777" w:rsidTr="00296B6A">
        <w:trPr>
          <w:trHeight w:val="527"/>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15012AF7"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Ingresos por Venta de Bienes y Prestación de Servicios de Empresas Productivas del Estado</w:t>
            </w:r>
          </w:p>
        </w:tc>
        <w:tc>
          <w:tcPr>
            <w:tcW w:w="2835" w:type="dxa"/>
            <w:tcBorders>
              <w:top w:val="nil"/>
              <w:left w:val="nil"/>
              <w:bottom w:val="single" w:sz="8" w:space="0" w:color="auto"/>
              <w:right w:val="single" w:sz="8" w:space="0" w:color="auto"/>
            </w:tcBorders>
            <w:shd w:val="clear" w:color="000000" w:fill="EDEDED"/>
            <w:noWrap/>
            <w:vAlign w:val="center"/>
            <w:hideMark/>
          </w:tcPr>
          <w:p w14:paraId="68DA136E"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3693891E" w14:textId="77777777" w:rsidTr="00296B6A">
        <w:trPr>
          <w:trHeight w:val="527"/>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51C51E38"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Ingresos por Venta de Bienes y Prestación de Servicios de Entidades Paraestatales y Fideicomisos No Empresariales y No Financieros</w:t>
            </w:r>
          </w:p>
        </w:tc>
        <w:tc>
          <w:tcPr>
            <w:tcW w:w="2835" w:type="dxa"/>
            <w:tcBorders>
              <w:top w:val="nil"/>
              <w:left w:val="nil"/>
              <w:bottom w:val="single" w:sz="8" w:space="0" w:color="auto"/>
              <w:right w:val="single" w:sz="8" w:space="0" w:color="auto"/>
            </w:tcBorders>
            <w:shd w:val="clear" w:color="000000" w:fill="EDEDED"/>
            <w:noWrap/>
            <w:vAlign w:val="center"/>
            <w:hideMark/>
          </w:tcPr>
          <w:p w14:paraId="1225289B"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2,336,999,078.00</w:t>
            </w:r>
          </w:p>
        </w:tc>
      </w:tr>
      <w:tr w:rsidR="00780D0F" w:rsidRPr="002C5F41" w14:paraId="6EA764D6" w14:textId="77777777" w:rsidTr="00296B6A">
        <w:trPr>
          <w:trHeight w:val="527"/>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55001053"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 xml:space="preserve">Ingresos por Venta de Bienes y Prestación de Servicios de Entidades Paraestatales </w:t>
            </w:r>
            <w:r w:rsidRPr="002C5F41">
              <w:rPr>
                <w:rFonts w:ascii="Arial" w:hAnsi="Arial" w:cs="Arial"/>
                <w:color w:val="000000"/>
                <w:lang w:eastAsia="es-MX"/>
              </w:rPr>
              <w:lastRenderedPageBreak/>
              <w:t>Empresariales No Financieras con Participación Estatal Mayoritaria</w:t>
            </w:r>
          </w:p>
        </w:tc>
        <w:tc>
          <w:tcPr>
            <w:tcW w:w="2835" w:type="dxa"/>
            <w:tcBorders>
              <w:top w:val="nil"/>
              <w:left w:val="nil"/>
              <w:bottom w:val="single" w:sz="8" w:space="0" w:color="auto"/>
              <w:right w:val="single" w:sz="8" w:space="0" w:color="auto"/>
            </w:tcBorders>
            <w:shd w:val="clear" w:color="000000" w:fill="EDEDED"/>
            <w:noWrap/>
            <w:vAlign w:val="center"/>
            <w:hideMark/>
          </w:tcPr>
          <w:p w14:paraId="7E7F247A"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lastRenderedPageBreak/>
              <w:t>0</w:t>
            </w:r>
          </w:p>
        </w:tc>
      </w:tr>
      <w:tr w:rsidR="00780D0F" w:rsidRPr="002C5F41" w14:paraId="14D33461" w14:textId="77777777" w:rsidTr="00296B6A">
        <w:trPr>
          <w:trHeight w:val="527"/>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26D46426"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Ingresos por Venta de Bienes y Prestación de Servicios de Entidades Paraestatales Empresariales Financieras Monetarias con Participación Estatal Mayoritaria</w:t>
            </w:r>
          </w:p>
        </w:tc>
        <w:tc>
          <w:tcPr>
            <w:tcW w:w="2835" w:type="dxa"/>
            <w:tcBorders>
              <w:top w:val="nil"/>
              <w:left w:val="nil"/>
              <w:bottom w:val="single" w:sz="8" w:space="0" w:color="auto"/>
              <w:right w:val="single" w:sz="8" w:space="0" w:color="auto"/>
            </w:tcBorders>
            <w:shd w:val="clear" w:color="000000" w:fill="EDEDED"/>
            <w:noWrap/>
            <w:vAlign w:val="center"/>
            <w:hideMark/>
          </w:tcPr>
          <w:p w14:paraId="3D12C9C4"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44629FA8" w14:textId="77777777" w:rsidTr="00780D0F">
        <w:trPr>
          <w:trHeight w:val="527"/>
        </w:trPr>
        <w:tc>
          <w:tcPr>
            <w:tcW w:w="4678" w:type="dxa"/>
            <w:tcBorders>
              <w:top w:val="nil"/>
              <w:left w:val="single" w:sz="8" w:space="0" w:color="auto"/>
              <w:bottom w:val="single" w:sz="4" w:space="0" w:color="auto"/>
              <w:right w:val="single" w:sz="8" w:space="0" w:color="auto"/>
            </w:tcBorders>
            <w:shd w:val="clear" w:color="000000" w:fill="EDEDED"/>
            <w:vAlign w:val="center"/>
            <w:hideMark/>
          </w:tcPr>
          <w:p w14:paraId="058D2E5B"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Ingresos por Venta de Bienes y Prestación de Servicios de Entidades Paraestatales Empresariales Financieras No Monetarias con Participación Estatal Mayoritaria</w:t>
            </w:r>
          </w:p>
        </w:tc>
        <w:tc>
          <w:tcPr>
            <w:tcW w:w="2835" w:type="dxa"/>
            <w:tcBorders>
              <w:top w:val="nil"/>
              <w:left w:val="nil"/>
              <w:bottom w:val="single" w:sz="4" w:space="0" w:color="auto"/>
              <w:right w:val="single" w:sz="8" w:space="0" w:color="auto"/>
            </w:tcBorders>
            <w:shd w:val="clear" w:color="000000" w:fill="EDEDED"/>
            <w:noWrap/>
            <w:vAlign w:val="center"/>
            <w:hideMark/>
          </w:tcPr>
          <w:p w14:paraId="1438069E"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11F3365" w14:textId="77777777" w:rsidTr="00780D0F">
        <w:trPr>
          <w:trHeight w:val="527"/>
        </w:trPr>
        <w:tc>
          <w:tcPr>
            <w:tcW w:w="4678" w:type="dxa"/>
            <w:tcBorders>
              <w:top w:val="single" w:sz="4" w:space="0" w:color="auto"/>
              <w:left w:val="single" w:sz="8" w:space="0" w:color="auto"/>
              <w:bottom w:val="single" w:sz="8" w:space="0" w:color="auto"/>
              <w:right w:val="single" w:sz="8" w:space="0" w:color="auto"/>
            </w:tcBorders>
            <w:shd w:val="clear" w:color="000000" w:fill="EDEDED"/>
            <w:vAlign w:val="center"/>
            <w:hideMark/>
          </w:tcPr>
          <w:p w14:paraId="1693DC15"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Ingresos por Venta de Bienes y Prestación de Servicios de Fideicomisos Financieros Públicos con Participación Estatal Mayoritaria</w:t>
            </w:r>
          </w:p>
        </w:tc>
        <w:tc>
          <w:tcPr>
            <w:tcW w:w="2835" w:type="dxa"/>
            <w:tcBorders>
              <w:top w:val="single" w:sz="4" w:space="0" w:color="auto"/>
              <w:left w:val="nil"/>
              <w:bottom w:val="single" w:sz="8" w:space="0" w:color="auto"/>
              <w:right w:val="single" w:sz="8" w:space="0" w:color="auto"/>
            </w:tcBorders>
            <w:shd w:val="clear" w:color="000000" w:fill="EDEDED"/>
            <w:noWrap/>
            <w:vAlign w:val="center"/>
            <w:hideMark/>
          </w:tcPr>
          <w:p w14:paraId="416EC242"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5A111EB8" w14:textId="77777777" w:rsidTr="00296B6A">
        <w:trPr>
          <w:trHeight w:val="527"/>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3503863B"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Ingresos por Venta de Bienes y Prestación de Servicios de los Poderes Legislativo y Judicial, y de los Órganos Autónomos</w:t>
            </w:r>
          </w:p>
        </w:tc>
        <w:tc>
          <w:tcPr>
            <w:tcW w:w="2835" w:type="dxa"/>
            <w:tcBorders>
              <w:top w:val="nil"/>
              <w:left w:val="nil"/>
              <w:bottom w:val="single" w:sz="8" w:space="0" w:color="auto"/>
              <w:right w:val="single" w:sz="8" w:space="0" w:color="auto"/>
            </w:tcBorders>
            <w:shd w:val="clear" w:color="000000" w:fill="EDEDED"/>
            <w:noWrap/>
            <w:vAlign w:val="center"/>
            <w:hideMark/>
          </w:tcPr>
          <w:p w14:paraId="6341456C"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0</w:t>
            </w:r>
          </w:p>
        </w:tc>
      </w:tr>
      <w:tr w:rsidR="00780D0F" w:rsidRPr="002C5F41" w14:paraId="2306028B"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EDEDED"/>
            <w:vAlign w:val="center"/>
            <w:hideMark/>
          </w:tcPr>
          <w:p w14:paraId="5DD4548E" w14:textId="77777777" w:rsidR="00780D0F" w:rsidRPr="002C5F41" w:rsidRDefault="00780D0F" w:rsidP="004215F5">
            <w:pPr>
              <w:ind w:right="277"/>
              <w:rPr>
                <w:rFonts w:ascii="Arial" w:hAnsi="Arial" w:cs="Arial"/>
                <w:color w:val="000000"/>
                <w:lang w:eastAsia="es-MX"/>
              </w:rPr>
            </w:pPr>
            <w:r w:rsidRPr="002C5F41">
              <w:rPr>
                <w:rFonts w:ascii="Arial" w:hAnsi="Arial" w:cs="Arial"/>
                <w:color w:val="000000"/>
                <w:lang w:eastAsia="es-MX"/>
              </w:rPr>
              <w:t>Otros Ingresos</w:t>
            </w:r>
          </w:p>
        </w:tc>
        <w:tc>
          <w:tcPr>
            <w:tcW w:w="2835" w:type="dxa"/>
            <w:tcBorders>
              <w:top w:val="nil"/>
              <w:left w:val="nil"/>
              <w:bottom w:val="single" w:sz="8" w:space="0" w:color="auto"/>
              <w:right w:val="single" w:sz="8" w:space="0" w:color="auto"/>
            </w:tcBorders>
            <w:shd w:val="clear" w:color="000000" w:fill="EDEDED"/>
            <w:noWrap/>
            <w:vAlign w:val="center"/>
            <w:hideMark/>
          </w:tcPr>
          <w:p w14:paraId="35BCB204" w14:textId="77777777" w:rsidR="00780D0F" w:rsidRPr="002C5F41" w:rsidRDefault="00780D0F" w:rsidP="004215F5">
            <w:pPr>
              <w:ind w:right="277"/>
              <w:jc w:val="right"/>
              <w:rPr>
                <w:rFonts w:ascii="Arial" w:hAnsi="Arial" w:cs="Arial"/>
                <w:color w:val="000000"/>
                <w:lang w:eastAsia="es-MX"/>
              </w:rPr>
            </w:pPr>
            <w:r w:rsidRPr="002C5F41">
              <w:rPr>
                <w:rFonts w:ascii="Arial" w:hAnsi="Arial" w:cs="Arial"/>
                <w:color w:val="000000"/>
                <w:lang w:eastAsia="es-MX"/>
              </w:rPr>
              <w:t>158,734,347.00</w:t>
            </w:r>
          </w:p>
        </w:tc>
      </w:tr>
      <w:tr w:rsidR="00780D0F" w:rsidRPr="002C5F41" w14:paraId="5B938DAD" w14:textId="77777777" w:rsidTr="00296B6A">
        <w:trPr>
          <w:trHeight w:val="316"/>
        </w:trPr>
        <w:tc>
          <w:tcPr>
            <w:tcW w:w="7513" w:type="dxa"/>
            <w:gridSpan w:val="2"/>
            <w:tcBorders>
              <w:top w:val="nil"/>
              <w:left w:val="single" w:sz="8" w:space="0" w:color="auto"/>
              <w:bottom w:val="single" w:sz="8" w:space="0" w:color="auto"/>
              <w:right w:val="single" w:sz="8" w:space="0" w:color="auto"/>
            </w:tcBorders>
            <w:shd w:val="clear" w:color="auto" w:fill="auto"/>
            <w:vAlign w:val="center"/>
            <w:hideMark/>
          </w:tcPr>
          <w:p w14:paraId="389C6617" w14:textId="77777777" w:rsidR="00780D0F" w:rsidRPr="002C5F41" w:rsidRDefault="00780D0F" w:rsidP="004215F5">
            <w:pPr>
              <w:ind w:right="277"/>
              <w:rPr>
                <w:rFonts w:ascii="Calibri" w:hAnsi="Calibri" w:cs="Calibri"/>
                <w:color w:val="000000"/>
                <w:lang w:eastAsia="es-MX"/>
              </w:rPr>
            </w:pPr>
            <w:r w:rsidRPr="002C5F41">
              <w:rPr>
                <w:rFonts w:ascii="Calibri" w:hAnsi="Calibri" w:cs="Calibri"/>
                <w:color w:val="000000"/>
                <w:lang w:eastAsia="es-MX"/>
              </w:rPr>
              <w:t> </w:t>
            </w:r>
          </w:p>
          <w:p w14:paraId="630540CB" w14:textId="77777777" w:rsidR="00780D0F" w:rsidRPr="002C5F41" w:rsidRDefault="00780D0F" w:rsidP="004215F5">
            <w:pPr>
              <w:ind w:right="277"/>
              <w:rPr>
                <w:rFonts w:ascii="Calibri" w:hAnsi="Calibri" w:cs="Calibri"/>
                <w:color w:val="000000"/>
                <w:lang w:eastAsia="es-MX"/>
              </w:rPr>
            </w:pPr>
            <w:r w:rsidRPr="002C5F41">
              <w:rPr>
                <w:rFonts w:ascii="Calibri" w:hAnsi="Calibri" w:cs="Calibri"/>
                <w:color w:val="000000"/>
                <w:lang w:eastAsia="es-MX"/>
              </w:rPr>
              <w:t> </w:t>
            </w:r>
          </w:p>
        </w:tc>
      </w:tr>
      <w:tr w:rsidR="00780D0F" w:rsidRPr="002C5F41" w14:paraId="673FDD6D"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9D244C"/>
            <w:vAlign w:val="center"/>
            <w:hideMark/>
          </w:tcPr>
          <w:p w14:paraId="46AF0F32" w14:textId="77777777" w:rsidR="00780D0F" w:rsidRPr="002C5F41" w:rsidRDefault="00780D0F" w:rsidP="004215F5">
            <w:pPr>
              <w:ind w:right="277"/>
              <w:jc w:val="center"/>
              <w:rPr>
                <w:rFonts w:ascii="Arial" w:hAnsi="Arial" w:cs="Arial"/>
                <w:b/>
                <w:bCs/>
                <w:color w:val="D4C19C"/>
                <w:lang w:eastAsia="es-MX"/>
              </w:rPr>
            </w:pPr>
            <w:r w:rsidRPr="002C5F41">
              <w:rPr>
                <w:rFonts w:ascii="Arial" w:hAnsi="Arial" w:cs="Arial"/>
                <w:b/>
                <w:bCs/>
                <w:color w:val="D4C19C"/>
                <w:lang w:eastAsia="es-MX"/>
              </w:rPr>
              <w:t>Subtotal Sector Paraestatal</w:t>
            </w:r>
          </w:p>
        </w:tc>
        <w:tc>
          <w:tcPr>
            <w:tcW w:w="2835" w:type="dxa"/>
            <w:tcBorders>
              <w:top w:val="nil"/>
              <w:left w:val="nil"/>
              <w:bottom w:val="single" w:sz="8" w:space="0" w:color="auto"/>
              <w:right w:val="single" w:sz="8" w:space="0" w:color="auto"/>
            </w:tcBorders>
            <w:shd w:val="clear" w:color="000000" w:fill="9D244C"/>
            <w:noWrap/>
            <w:vAlign w:val="center"/>
            <w:hideMark/>
          </w:tcPr>
          <w:p w14:paraId="44E6D9D7" w14:textId="77777777" w:rsidR="00780D0F" w:rsidRPr="002C5F41" w:rsidRDefault="00780D0F" w:rsidP="004215F5">
            <w:pPr>
              <w:ind w:right="277"/>
              <w:jc w:val="right"/>
              <w:rPr>
                <w:rFonts w:ascii="Arial" w:hAnsi="Arial" w:cs="Arial"/>
                <w:b/>
                <w:bCs/>
                <w:color w:val="D4C19C"/>
                <w:lang w:eastAsia="es-MX"/>
              </w:rPr>
            </w:pPr>
            <w:r w:rsidRPr="002C5F41">
              <w:rPr>
                <w:rFonts w:ascii="Arial" w:hAnsi="Arial" w:cs="Arial"/>
                <w:b/>
                <w:bCs/>
                <w:color w:val="D4C19C"/>
                <w:lang w:eastAsia="es-MX"/>
              </w:rPr>
              <w:t>2,513,734,110.00</w:t>
            </w:r>
          </w:p>
        </w:tc>
      </w:tr>
      <w:tr w:rsidR="00780D0F" w:rsidRPr="002C5F41" w14:paraId="55740493" w14:textId="77777777" w:rsidTr="00296B6A">
        <w:trPr>
          <w:trHeight w:val="316"/>
        </w:trPr>
        <w:tc>
          <w:tcPr>
            <w:tcW w:w="7513" w:type="dxa"/>
            <w:gridSpan w:val="2"/>
            <w:tcBorders>
              <w:top w:val="nil"/>
              <w:left w:val="single" w:sz="8" w:space="0" w:color="auto"/>
              <w:bottom w:val="single" w:sz="8" w:space="0" w:color="auto"/>
              <w:right w:val="single" w:sz="8" w:space="0" w:color="auto"/>
            </w:tcBorders>
            <w:shd w:val="clear" w:color="auto" w:fill="auto"/>
            <w:vAlign w:val="center"/>
            <w:hideMark/>
          </w:tcPr>
          <w:p w14:paraId="181E9403" w14:textId="77777777" w:rsidR="00780D0F" w:rsidRPr="002C5F41" w:rsidRDefault="00780D0F" w:rsidP="004215F5">
            <w:pPr>
              <w:ind w:right="277"/>
              <w:rPr>
                <w:rFonts w:ascii="Calibri" w:hAnsi="Calibri" w:cs="Calibri"/>
                <w:color w:val="000000"/>
                <w:lang w:eastAsia="es-MX"/>
              </w:rPr>
            </w:pPr>
            <w:r w:rsidRPr="002C5F41">
              <w:rPr>
                <w:rFonts w:ascii="Calibri" w:hAnsi="Calibri" w:cs="Calibri"/>
                <w:color w:val="000000"/>
                <w:lang w:eastAsia="es-MX"/>
              </w:rPr>
              <w:t> </w:t>
            </w:r>
          </w:p>
          <w:p w14:paraId="682102C4" w14:textId="77777777" w:rsidR="00780D0F" w:rsidRPr="002C5F41" w:rsidRDefault="00780D0F" w:rsidP="004215F5">
            <w:pPr>
              <w:ind w:right="277"/>
              <w:rPr>
                <w:rFonts w:ascii="Calibri" w:hAnsi="Calibri" w:cs="Calibri"/>
                <w:color w:val="000000"/>
                <w:lang w:eastAsia="es-MX"/>
              </w:rPr>
            </w:pPr>
            <w:r w:rsidRPr="002C5F41">
              <w:rPr>
                <w:rFonts w:ascii="Calibri" w:hAnsi="Calibri" w:cs="Calibri"/>
                <w:color w:val="000000"/>
                <w:lang w:eastAsia="es-MX"/>
              </w:rPr>
              <w:t> </w:t>
            </w:r>
          </w:p>
        </w:tc>
      </w:tr>
      <w:tr w:rsidR="00780D0F" w:rsidRPr="002C5F41" w14:paraId="7123E242" w14:textId="77777777" w:rsidTr="00296B6A">
        <w:trPr>
          <w:trHeight w:val="316"/>
        </w:trPr>
        <w:tc>
          <w:tcPr>
            <w:tcW w:w="4678" w:type="dxa"/>
            <w:tcBorders>
              <w:top w:val="nil"/>
              <w:left w:val="single" w:sz="8" w:space="0" w:color="auto"/>
              <w:bottom w:val="single" w:sz="8" w:space="0" w:color="auto"/>
              <w:right w:val="single" w:sz="8" w:space="0" w:color="auto"/>
            </w:tcBorders>
            <w:shd w:val="clear" w:color="000000" w:fill="000000"/>
            <w:vAlign w:val="center"/>
            <w:hideMark/>
          </w:tcPr>
          <w:p w14:paraId="5EE06067" w14:textId="77777777" w:rsidR="00780D0F" w:rsidRPr="002C5F41" w:rsidRDefault="00780D0F" w:rsidP="004215F5">
            <w:pPr>
              <w:ind w:right="277"/>
              <w:jc w:val="center"/>
              <w:rPr>
                <w:rFonts w:ascii="Arial" w:hAnsi="Arial" w:cs="Arial"/>
                <w:b/>
                <w:bCs/>
                <w:color w:val="FFFFFF"/>
                <w:lang w:eastAsia="es-MX"/>
              </w:rPr>
            </w:pPr>
            <w:proofErr w:type="gramStart"/>
            <w:r w:rsidRPr="002C5F41">
              <w:rPr>
                <w:rFonts w:ascii="Arial" w:hAnsi="Arial" w:cs="Arial"/>
                <w:b/>
                <w:bCs/>
                <w:color w:val="FFFFFF"/>
                <w:lang w:eastAsia="es-MX"/>
              </w:rPr>
              <w:t>Total</w:t>
            </w:r>
            <w:proofErr w:type="gramEnd"/>
            <w:r w:rsidRPr="002C5F41">
              <w:rPr>
                <w:rFonts w:ascii="Arial" w:hAnsi="Arial" w:cs="Arial"/>
                <w:b/>
                <w:bCs/>
                <w:color w:val="FFFFFF"/>
                <w:lang w:eastAsia="es-MX"/>
              </w:rPr>
              <w:t xml:space="preserve"> Ley de Ingresos</w:t>
            </w:r>
          </w:p>
        </w:tc>
        <w:tc>
          <w:tcPr>
            <w:tcW w:w="2835" w:type="dxa"/>
            <w:tcBorders>
              <w:top w:val="nil"/>
              <w:left w:val="nil"/>
              <w:bottom w:val="single" w:sz="8" w:space="0" w:color="auto"/>
              <w:right w:val="single" w:sz="8" w:space="0" w:color="auto"/>
            </w:tcBorders>
            <w:shd w:val="clear" w:color="000000" w:fill="000000"/>
            <w:noWrap/>
            <w:vAlign w:val="center"/>
            <w:hideMark/>
          </w:tcPr>
          <w:p w14:paraId="60DF49ED" w14:textId="77777777" w:rsidR="00780D0F" w:rsidRPr="002C5F41" w:rsidRDefault="00780D0F" w:rsidP="004215F5">
            <w:pPr>
              <w:ind w:right="277"/>
              <w:jc w:val="right"/>
              <w:rPr>
                <w:rFonts w:ascii="Arial" w:hAnsi="Arial" w:cs="Arial"/>
                <w:b/>
                <w:bCs/>
                <w:color w:val="FFFFFF"/>
                <w:lang w:eastAsia="es-MX"/>
              </w:rPr>
            </w:pPr>
            <w:r w:rsidRPr="002C5F41">
              <w:rPr>
                <w:rFonts w:ascii="Arial" w:hAnsi="Arial" w:cs="Arial"/>
                <w:b/>
                <w:bCs/>
                <w:color w:val="FFFFFF"/>
                <w:lang w:eastAsia="es-MX"/>
              </w:rPr>
              <w:t>71,039,555,296.00</w:t>
            </w:r>
          </w:p>
        </w:tc>
      </w:tr>
    </w:tbl>
    <w:p w14:paraId="0CD6CA69" w14:textId="77777777" w:rsidR="00DD55F4" w:rsidRPr="007816F3" w:rsidRDefault="00DD55F4" w:rsidP="004215F5">
      <w:pPr>
        <w:jc w:val="both"/>
        <w:rPr>
          <w:rFonts w:ascii="Arial" w:hAnsi="Arial" w:cs="Arial"/>
        </w:rPr>
      </w:pPr>
    </w:p>
    <w:p w14:paraId="2A08430E" w14:textId="77777777" w:rsidR="00780D0F" w:rsidRPr="007816F3" w:rsidRDefault="00780D0F" w:rsidP="004215F5">
      <w:pPr>
        <w:jc w:val="both"/>
        <w:rPr>
          <w:rFonts w:ascii="Arial" w:hAnsi="Arial" w:cs="Arial"/>
        </w:rPr>
      </w:pPr>
      <w:r w:rsidRPr="007816F3">
        <w:rPr>
          <w:rFonts w:ascii="Arial" w:hAnsi="Arial" w:cs="Arial"/>
          <w:b/>
          <w:bCs/>
        </w:rPr>
        <w:t>Artículo 2.</w:t>
      </w:r>
      <w:r w:rsidRPr="007816F3">
        <w:rPr>
          <w:rFonts w:ascii="Arial" w:hAnsi="Arial" w:cs="Arial"/>
        </w:rPr>
        <w:t xml:space="preserve"> Se causarán recargos cuando, de conformidad con el Código Fiscal del Estado de Hidalgo, se autorice el pago en parcialidades o mediante pago diferido de créditos fiscales, aplicando la tasa de recargos que a continuación se establece, sobre los saldos y durante el periodo que se trate:</w:t>
      </w:r>
    </w:p>
    <w:p w14:paraId="1A01431C" w14:textId="77777777" w:rsidR="00780D0F" w:rsidRPr="007816F3" w:rsidRDefault="00780D0F" w:rsidP="004215F5">
      <w:pPr>
        <w:jc w:val="both"/>
        <w:rPr>
          <w:rFonts w:ascii="Arial" w:hAnsi="Arial" w:cs="Arial"/>
        </w:rPr>
      </w:pPr>
    </w:p>
    <w:p w14:paraId="3D78468A" w14:textId="74209D15" w:rsidR="00780D0F" w:rsidRPr="007816F3" w:rsidRDefault="00A348B2" w:rsidP="004215F5">
      <w:pPr>
        <w:jc w:val="both"/>
        <w:rPr>
          <w:rFonts w:ascii="Arial" w:hAnsi="Arial" w:cs="Arial"/>
        </w:rPr>
      </w:pPr>
      <w:r w:rsidRPr="007816F3">
        <w:rPr>
          <w:rFonts w:ascii="Arial" w:hAnsi="Arial" w:cs="Arial"/>
          <w:b/>
          <w:bCs/>
        </w:rPr>
        <w:t xml:space="preserve">I. </w:t>
      </w:r>
      <w:r w:rsidR="00780D0F" w:rsidRPr="007816F3">
        <w:rPr>
          <w:rFonts w:ascii="Arial" w:hAnsi="Arial" w:cs="Arial"/>
        </w:rPr>
        <w:t>De los pagos a plazos en parcialidades o diferido de hasta 12 meses, la tasa de recargos será del 1.25 por ciento mensual;</w:t>
      </w:r>
    </w:p>
    <w:p w14:paraId="28CEB68B" w14:textId="77777777" w:rsidR="00A348B2" w:rsidRPr="007816F3" w:rsidRDefault="00A348B2" w:rsidP="004215F5">
      <w:pPr>
        <w:jc w:val="both"/>
        <w:rPr>
          <w:rFonts w:ascii="Arial" w:hAnsi="Arial" w:cs="Arial"/>
        </w:rPr>
      </w:pPr>
    </w:p>
    <w:p w14:paraId="4A36ECE8" w14:textId="363C4B41" w:rsidR="00780D0F" w:rsidRPr="007816F3" w:rsidRDefault="00A348B2" w:rsidP="004215F5">
      <w:pPr>
        <w:jc w:val="both"/>
        <w:rPr>
          <w:rFonts w:ascii="Arial" w:hAnsi="Arial" w:cs="Arial"/>
        </w:rPr>
      </w:pPr>
      <w:r w:rsidRPr="007816F3">
        <w:rPr>
          <w:rFonts w:ascii="Arial" w:hAnsi="Arial" w:cs="Arial"/>
          <w:b/>
          <w:bCs/>
        </w:rPr>
        <w:t xml:space="preserve">II. </w:t>
      </w:r>
      <w:r w:rsidR="00780D0F" w:rsidRPr="007816F3">
        <w:rPr>
          <w:rFonts w:ascii="Arial" w:hAnsi="Arial" w:cs="Arial"/>
        </w:rPr>
        <w:t>De los pagos a plazos en parcialidades o diferido de más de 12 meses y hasta 24 meses, la tasa de recargos será del 1.50 por ciento mensual; y</w:t>
      </w:r>
    </w:p>
    <w:p w14:paraId="5767F4DC" w14:textId="77777777" w:rsidR="00A348B2" w:rsidRPr="007816F3" w:rsidRDefault="00A348B2" w:rsidP="004215F5">
      <w:pPr>
        <w:jc w:val="both"/>
        <w:rPr>
          <w:rFonts w:ascii="Arial" w:hAnsi="Arial" w:cs="Arial"/>
        </w:rPr>
      </w:pPr>
    </w:p>
    <w:p w14:paraId="382B52C7" w14:textId="0E79CFB8" w:rsidR="00780D0F" w:rsidRPr="007816F3" w:rsidRDefault="00A348B2" w:rsidP="004215F5">
      <w:pPr>
        <w:jc w:val="both"/>
        <w:rPr>
          <w:rFonts w:ascii="Arial" w:hAnsi="Arial" w:cs="Arial"/>
        </w:rPr>
      </w:pPr>
      <w:r w:rsidRPr="007816F3">
        <w:rPr>
          <w:rFonts w:ascii="Arial" w:hAnsi="Arial" w:cs="Arial"/>
          <w:b/>
          <w:bCs/>
        </w:rPr>
        <w:t xml:space="preserve">III. </w:t>
      </w:r>
      <w:r w:rsidR="00780D0F" w:rsidRPr="007816F3">
        <w:rPr>
          <w:rFonts w:ascii="Arial" w:hAnsi="Arial" w:cs="Arial"/>
        </w:rPr>
        <w:t>De los pagos a plazos en parcialidades o diferido de más de 24 meses y hasta 36 meses, la tasa de recargos será del 1.70 por ciento mensual.</w:t>
      </w:r>
    </w:p>
    <w:p w14:paraId="30FF402B" w14:textId="77777777" w:rsidR="00A348B2" w:rsidRPr="007816F3" w:rsidRDefault="00A348B2" w:rsidP="004215F5">
      <w:pPr>
        <w:jc w:val="both"/>
        <w:rPr>
          <w:rFonts w:ascii="Arial" w:hAnsi="Arial" w:cs="Arial"/>
        </w:rPr>
      </w:pPr>
    </w:p>
    <w:p w14:paraId="7113759B" w14:textId="722282C2" w:rsidR="00780D0F" w:rsidRPr="007816F3" w:rsidRDefault="00780D0F" w:rsidP="004215F5">
      <w:pPr>
        <w:jc w:val="both"/>
        <w:rPr>
          <w:rFonts w:ascii="Arial" w:hAnsi="Arial" w:cs="Arial"/>
        </w:rPr>
      </w:pPr>
      <w:r w:rsidRPr="007816F3">
        <w:rPr>
          <w:rFonts w:ascii="Arial" w:hAnsi="Arial" w:cs="Arial"/>
        </w:rPr>
        <w:t>En las autorizaciones del pago a plazos en parcialidades o diferido, previa valoración de la Autoridad competente, se podrá eximir al interesado de presentar la garantía del interés fiscal contenida en el artículo 44 del Código Fiscal del Estado de Hidalgo, cuando medie solicitud y se haya pagado el 20% del total del crédito fiscal.</w:t>
      </w:r>
    </w:p>
    <w:p w14:paraId="1293A8EF" w14:textId="77777777" w:rsidR="00780D0F" w:rsidRPr="007816F3" w:rsidRDefault="00780D0F" w:rsidP="004215F5">
      <w:pPr>
        <w:jc w:val="both"/>
        <w:rPr>
          <w:rFonts w:ascii="Arial" w:hAnsi="Arial" w:cs="Arial"/>
        </w:rPr>
      </w:pPr>
    </w:p>
    <w:p w14:paraId="45C48269" w14:textId="77777777" w:rsidR="00780D0F" w:rsidRPr="007816F3" w:rsidRDefault="00780D0F" w:rsidP="004215F5">
      <w:pPr>
        <w:jc w:val="both"/>
        <w:rPr>
          <w:rFonts w:ascii="Arial" w:hAnsi="Arial" w:cs="Arial"/>
        </w:rPr>
      </w:pPr>
      <w:r w:rsidRPr="007816F3">
        <w:rPr>
          <w:rFonts w:ascii="Arial" w:hAnsi="Arial" w:cs="Arial"/>
          <w:b/>
          <w:bCs/>
        </w:rPr>
        <w:t>Artículo 3.</w:t>
      </w:r>
      <w:r w:rsidRPr="007816F3">
        <w:rPr>
          <w:rFonts w:ascii="Arial" w:hAnsi="Arial" w:cs="Arial"/>
        </w:rPr>
        <w:t xml:space="preserve"> Se pagarán recargos a razón del 2.0% mensual por el pago extemporáneo de contribuciones omitidas o créditos fiscales.</w:t>
      </w:r>
    </w:p>
    <w:p w14:paraId="1ECBC8B8" w14:textId="77777777" w:rsidR="00780D0F" w:rsidRPr="007816F3" w:rsidRDefault="00780D0F" w:rsidP="004215F5">
      <w:pPr>
        <w:jc w:val="both"/>
        <w:rPr>
          <w:rFonts w:ascii="Arial" w:hAnsi="Arial" w:cs="Arial"/>
        </w:rPr>
      </w:pPr>
    </w:p>
    <w:p w14:paraId="0ADFF4C4" w14:textId="77777777" w:rsidR="00780D0F" w:rsidRPr="007816F3" w:rsidRDefault="00780D0F" w:rsidP="004215F5">
      <w:pPr>
        <w:jc w:val="both"/>
        <w:rPr>
          <w:rFonts w:ascii="Arial" w:hAnsi="Arial" w:cs="Arial"/>
        </w:rPr>
      </w:pPr>
      <w:r w:rsidRPr="007816F3">
        <w:rPr>
          <w:rFonts w:ascii="Arial" w:hAnsi="Arial" w:cs="Arial"/>
          <w:b/>
          <w:bCs/>
        </w:rPr>
        <w:t>Artículo 4.</w:t>
      </w:r>
      <w:r w:rsidRPr="007816F3">
        <w:rPr>
          <w:rFonts w:ascii="Arial" w:hAnsi="Arial" w:cs="Arial"/>
        </w:rPr>
        <w:t xml:space="preserve"> El Poder Ejecutivo, en el ejercicio de sus funciones de derecho público, por conducto de la Secretaría de Hacienda, queda facultado para autorizar, fijar o modificar las contraprestaciones que se cobrarán por concepto de productos y en general, por la enajenación y el uso o aprovechamiento de bienes del dominio privado y por la prestación de servicios por los que no se establezcan Derechos, debiendo señalarse las mismas en los términos contractuales y atendiendo las condiciones más favorables para la Hacienda Pública del Estado.</w:t>
      </w:r>
    </w:p>
    <w:p w14:paraId="4CBDC657" w14:textId="77777777" w:rsidR="00780D0F" w:rsidRPr="007816F3" w:rsidRDefault="00780D0F" w:rsidP="004215F5">
      <w:pPr>
        <w:jc w:val="both"/>
        <w:rPr>
          <w:rFonts w:ascii="Arial" w:hAnsi="Arial" w:cs="Arial"/>
        </w:rPr>
      </w:pPr>
    </w:p>
    <w:p w14:paraId="276EC7DB" w14:textId="77777777" w:rsidR="00780D0F" w:rsidRPr="007816F3" w:rsidRDefault="00780D0F" w:rsidP="004215F5">
      <w:pPr>
        <w:jc w:val="both"/>
        <w:rPr>
          <w:rFonts w:ascii="Arial" w:hAnsi="Arial" w:cs="Arial"/>
        </w:rPr>
      </w:pPr>
      <w:r w:rsidRPr="007816F3">
        <w:rPr>
          <w:rFonts w:ascii="Arial" w:hAnsi="Arial" w:cs="Arial"/>
        </w:rPr>
        <w:lastRenderedPageBreak/>
        <w:t>La Secretaría de Hacienda, establecerá las bases para fijar las contraprestaciones a que se refiere este artículo, tomando en consideración criterios de eficiencia económica y de saneamiento financiero, además de atender lo siguiente:</w:t>
      </w:r>
    </w:p>
    <w:p w14:paraId="5FF5E4A3" w14:textId="77777777" w:rsidR="00780D0F" w:rsidRPr="007816F3" w:rsidRDefault="00780D0F" w:rsidP="004215F5">
      <w:pPr>
        <w:jc w:val="both"/>
        <w:rPr>
          <w:rFonts w:ascii="Arial" w:hAnsi="Arial" w:cs="Arial"/>
        </w:rPr>
      </w:pPr>
    </w:p>
    <w:p w14:paraId="77513760" w14:textId="4796F4A9" w:rsidR="00780D0F" w:rsidRPr="007816F3" w:rsidRDefault="00A348B2" w:rsidP="004215F5">
      <w:pPr>
        <w:jc w:val="both"/>
        <w:rPr>
          <w:rFonts w:ascii="Arial" w:hAnsi="Arial" w:cs="Arial"/>
        </w:rPr>
      </w:pPr>
      <w:r w:rsidRPr="007816F3">
        <w:rPr>
          <w:rFonts w:ascii="Arial" w:hAnsi="Arial" w:cs="Arial"/>
          <w:b/>
          <w:bCs/>
        </w:rPr>
        <w:t xml:space="preserve">I. </w:t>
      </w:r>
      <w:r w:rsidR="00780D0F" w:rsidRPr="007816F3">
        <w:rPr>
          <w:rFonts w:ascii="Arial" w:hAnsi="Arial" w:cs="Arial"/>
        </w:rPr>
        <w:t>La cantidad que deba cubrirse por concepto de contraprestaciones, se fijará en consideración al cobro que se efectúe por el uso, goce, aprovechamiento o explotación de bienes o por la prestación de servicios, de similares características;</w:t>
      </w:r>
    </w:p>
    <w:p w14:paraId="01C648E0" w14:textId="77777777" w:rsidR="00780D0F" w:rsidRPr="007816F3" w:rsidRDefault="00780D0F" w:rsidP="004215F5">
      <w:pPr>
        <w:jc w:val="both"/>
        <w:rPr>
          <w:rFonts w:ascii="Arial" w:hAnsi="Arial" w:cs="Arial"/>
        </w:rPr>
      </w:pPr>
    </w:p>
    <w:p w14:paraId="2EE67B8A" w14:textId="3B540C34" w:rsidR="00780D0F" w:rsidRPr="007816F3" w:rsidRDefault="00A348B2" w:rsidP="004215F5">
      <w:pPr>
        <w:jc w:val="both"/>
        <w:rPr>
          <w:rFonts w:ascii="Arial" w:hAnsi="Arial" w:cs="Arial"/>
        </w:rPr>
      </w:pPr>
      <w:r w:rsidRPr="007816F3">
        <w:rPr>
          <w:rFonts w:ascii="Arial" w:hAnsi="Arial" w:cs="Arial"/>
          <w:b/>
          <w:bCs/>
        </w:rPr>
        <w:t xml:space="preserve">II. </w:t>
      </w:r>
      <w:r w:rsidR="00780D0F" w:rsidRPr="007816F3">
        <w:rPr>
          <w:rFonts w:ascii="Arial" w:hAnsi="Arial" w:cs="Arial"/>
        </w:rPr>
        <w:t xml:space="preserve">Las contraprestaciones que se cobren por el uso, goce, aprovechamiento o explotación de bienes o por la prestación de servicios, que no tengan referencia en los mercados nacionales e internacionales, se fijarán en consideración a su costo, siempre que se derive de una valuación de los mismos, en términos de eficiencia económica y saneamiento financiero; y </w:t>
      </w:r>
    </w:p>
    <w:p w14:paraId="5B1E1F85" w14:textId="77777777" w:rsidR="00780D0F" w:rsidRPr="007816F3" w:rsidRDefault="00780D0F" w:rsidP="004215F5">
      <w:pPr>
        <w:jc w:val="both"/>
        <w:rPr>
          <w:rFonts w:ascii="Arial" w:hAnsi="Arial" w:cs="Arial"/>
        </w:rPr>
      </w:pPr>
    </w:p>
    <w:p w14:paraId="2DAC1F9D" w14:textId="59152C58" w:rsidR="00780D0F" w:rsidRPr="007816F3" w:rsidRDefault="00A348B2" w:rsidP="004215F5">
      <w:pPr>
        <w:jc w:val="both"/>
        <w:rPr>
          <w:rFonts w:ascii="Arial" w:hAnsi="Arial" w:cs="Arial"/>
        </w:rPr>
      </w:pPr>
      <w:r w:rsidRPr="007816F3">
        <w:rPr>
          <w:rFonts w:ascii="Arial" w:hAnsi="Arial" w:cs="Arial"/>
          <w:b/>
          <w:bCs/>
        </w:rPr>
        <w:t xml:space="preserve">III. </w:t>
      </w:r>
      <w:r w:rsidR="00780D0F" w:rsidRPr="007816F3">
        <w:rPr>
          <w:rFonts w:ascii="Arial" w:hAnsi="Arial" w:cs="Arial"/>
        </w:rPr>
        <w:t>Se podrán establecer contraprestaciones diferentes por el uso, goce, aprovechamiento o explotación de bienes o por la prestación de servicios, derivado de estrategias de comercialización y racionalización.</w:t>
      </w:r>
    </w:p>
    <w:p w14:paraId="6A14C36E" w14:textId="77777777" w:rsidR="00780D0F" w:rsidRPr="007816F3" w:rsidRDefault="00780D0F" w:rsidP="004215F5">
      <w:pPr>
        <w:jc w:val="both"/>
        <w:rPr>
          <w:rFonts w:ascii="Arial" w:hAnsi="Arial" w:cs="Arial"/>
        </w:rPr>
      </w:pPr>
    </w:p>
    <w:p w14:paraId="399A3ABD" w14:textId="77777777" w:rsidR="00780D0F" w:rsidRPr="007816F3" w:rsidRDefault="00780D0F" w:rsidP="004215F5">
      <w:pPr>
        <w:jc w:val="both"/>
        <w:rPr>
          <w:rFonts w:ascii="Arial" w:hAnsi="Arial" w:cs="Arial"/>
        </w:rPr>
      </w:pPr>
      <w:r w:rsidRPr="007816F3">
        <w:rPr>
          <w:rFonts w:ascii="Arial" w:hAnsi="Arial" w:cs="Arial"/>
          <w:b/>
          <w:bCs/>
        </w:rPr>
        <w:t>Artículo 5.</w:t>
      </w:r>
      <w:r w:rsidRPr="007816F3">
        <w:rPr>
          <w:rFonts w:ascii="Arial" w:hAnsi="Arial" w:cs="Arial"/>
        </w:rPr>
        <w:t xml:space="preserve"> Las contribuciones y contraprestaciones que no sean validadas por la Secretaría de Hacienda y aprobadas por el Congreso del Estado Libre y Soberano de Hidalgo, para el Ejercicio Fiscal 2025, no podrán ser cobradas por las Dependencias y Entidades Paraestatales de la Administración Pública Estatal. Para tal efecto, se mantendrán vigentes las últimas publicadas en el Periódico Oficial del Estado de Hidalgo independientemente del ejercicio fiscal a que haga referencia en la publicación, salvo que se trate de multas, en cuyo caso aplicarán las vigentes en el momento de la comisión de la infracción que les de origen. Lo anterior también aplicará para aquellas que no sufrieron modificaciones.</w:t>
      </w:r>
    </w:p>
    <w:p w14:paraId="6CCC2E16" w14:textId="77777777" w:rsidR="00780D0F" w:rsidRPr="007816F3" w:rsidRDefault="00780D0F" w:rsidP="004215F5">
      <w:pPr>
        <w:jc w:val="both"/>
        <w:rPr>
          <w:rFonts w:ascii="Arial" w:hAnsi="Arial" w:cs="Arial"/>
        </w:rPr>
      </w:pPr>
    </w:p>
    <w:p w14:paraId="7011027E" w14:textId="77777777" w:rsidR="00780D0F" w:rsidRPr="007816F3" w:rsidRDefault="00780D0F" w:rsidP="004215F5">
      <w:pPr>
        <w:jc w:val="both"/>
        <w:rPr>
          <w:rFonts w:ascii="Arial" w:hAnsi="Arial" w:cs="Arial"/>
        </w:rPr>
      </w:pPr>
      <w:r w:rsidRPr="007816F3">
        <w:rPr>
          <w:rFonts w:ascii="Arial" w:hAnsi="Arial" w:cs="Arial"/>
        </w:rPr>
        <w:t>A las Dependencias y Entidades Paraestatales de la Administración Pública Estatal que omitan total o parcialmente el cobro o entero de las Contribuciones establecidas en los términos de esta Ley, se les disminuirá del presupuesto asignado para el ejercicio, una cantidad equivalente a dos veces el valor de la omisión efectuada.</w:t>
      </w:r>
    </w:p>
    <w:p w14:paraId="57998964" w14:textId="77777777" w:rsidR="00780D0F" w:rsidRPr="007816F3" w:rsidRDefault="00780D0F" w:rsidP="004215F5">
      <w:pPr>
        <w:jc w:val="both"/>
        <w:rPr>
          <w:rFonts w:ascii="Arial" w:hAnsi="Arial" w:cs="Arial"/>
        </w:rPr>
      </w:pPr>
    </w:p>
    <w:p w14:paraId="3838B7A4" w14:textId="77777777" w:rsidR="00780D0F" w:rsidRPr="007816F3" w:rsidRDefault="00780D0F" w:rsidP="004215F5">
      <w:pPr>
        <w:jc w:val="both"/>
        <w:rPr>
          <w:rFonts w:ascii="Arial" w:hAnsi="Arial" w:cs="Arial"/>
        </w:rPr>
      </w:pPr>
      <w:r w:rsidRPr="007816F3">
        <w:rPr>
          <w:rFonts w:ascii="Arial" w:hAnsi="Arial" w:cs="Arial"/>
        </w:rPr>
        <w:t>Con el objeto de que la Secretaría de Hacienda elabore la Cuenta de la Hacienda Pública del Estado, todas las Entidades de la Administración Pública Paraestatal, sin excepción, deberán entregar durante el Ejercicio Fiscal 2025, un informe mensual armonizado sobre todos los ingresos que hayan percibido.</w:t>
      </w:r>
    </w:p>
    <w:p w14:paraId="72E9E125" w14:textId="77777777" w:rsidR="00780D0F" w:rsidRPr="007816F3" w:rsidRDefault="00780D0F" w:rsidP="004215F5">
      <w:pPr>
        <w:jc w:val="both"/>
        <w:rPr>
          <w:rFonts w:ascii="Arial" w:hAnsi="Arial" w:cs="Arial"/>
        </w:rPr>
      </w:pPr>
    </w:p>
    <w:p w14:paraId="116F4F17" w14:textId="77777777" w:rsidR="00780D0F" w:rsidRPr="007816F3" w:rsidRDefault="00780D0F" w:rsidP="004215F5">
      <w:pPr>
        <w:jc w:val="both"/>
        <w:rPr>
          <w:rFonts w:ascii="Arial" w:hAnsi="Arial" w:cs="Arial"/>
        </w:rPr>
      </w:pPr>
      <w:r w:rsidRPr="007816F3">
        <w:rPr>
          <w:rFonts w:ascii="Arial" w:hAnsi="Arial" w:cs="Arial"/>
        </w:rPr>
        <w:t>El informe a que se refiere el párrafo anterior, deberá remitirse dentro de los primeros 10 días del mes siguiente, una vez que se realice el corte al mes que corresponda, a través de los sistemas que para tales efectos sean designados por la Secretaría de Hacienda.</w:t>
      </w:r>
    </w:p>
    <w:p w14:paraId="7639E890" w14:textId="77777777" w:rsidR="00780D0F" w:rsidRPr="007816F3" w:rsidRDefault="00780D0F" w:rsidP="004215F5">
      <w:pPr>
        <w:jc w:val="both"/>
        <w:rPr>
          <w:rFonts w:ascii="Arial" w:hAnsi="Arial" w:cs="Arial"/>
        </w:rPr>
      </w:pPr>
    </w:p>
    <w:p w14:paraId="269BD9E5" w14:textId="77777777" w:rsidR="00780D0F" w:rsidRPr="007816F3" w:rsidRDefault="00780D0F" w:rsidP="004215F5">
      <w:pPr>
        <w:jc w:val="both"/>
        <w:rPr>
          <w:rFonts w:ascii="Arial" w:hAnsi="Arial" w:cs="Arial"/>
        </w:rPr>
      </w:pPr>
      <w:r w:rsidRPr="007816F3">
        <w:rPr>
          <w:rFonts w:ascii="Arial" w:hAnsi="Arial" w:cs="Arial"/>
        </w:rPr>
        <w:t>Las Dependencias y Entidades Paraestatales de la Administración Pública Estatal, deberán entregar a la Secretaría de Hacienda, durante los primeros 15 días hábiles de enero del año 2026, el informe anual sobre los conceptos y montos de los ingresos que hayan percibido durante el Ejercicio Fiscal 2025.</w:t>
      </w:r>
    </w:p>
    <w:p w14:paraId="4402EA27" w14:textId="77777777" w:rsidR="00780D0F" w:rsidRPr="007816F3" w:rsidRDefault="00780D0F" w:rsidP="004215F5">
      <w:pPr>
        <w:jc w:val="both"/>
        <w:rPr>
          <w:rFonts w:ascii="Arial" w:hAnsi="Arial" w:cs="Arial"/>
        </w:rPr>
      </w:pPr>
    </w:p>
    <w:p w14:paraId="3EDDAA57" w14:textId="77777777" w:rsidR="00780D0F" w:rsidRPr="007816F3" w:rsidRDefault="00780D0F" w:rsidP="004215F5">
      <w:pPr>
        <w:jc w:val="both"/>
        <w:rPr>
          <w:rFonts w:ascii="Arial" w:hAnsi="Arial" w:cs="Arial"/>
        </w:rPr>
      </w:pPr>
      <w:r w:rsidRPr="007816F3">
        <w:rPr>
          <w:rFonts w:ascii="Arial" w:hAnsi="Arial" w:cs="Arial"/>
          <w:b/>
          <w:bCs/>
        </w:rPr>
        <w:t>Artículo 6.</w:t>
      </w:r>
      <w:r w:rsidRPr="007816F3">
        <w:rPr>
          <w:rFonts w:ascii="Arial" w:hAnsi="Arial" w:cs="Arial"/>
        </w:rPr>
        <w:t xml:space="preserve"> Los ingresos propios de las unidades generadoras, podrán destinarse previa autorización de la Secretaría de Hacienda para cubrir los gastos de operación, conservación, mantenimiento e inversión de las mismas, y hasta por el monto autorizado en el Presupuesto de Egresos del Estado, de conformidad con los programas y proyectos que se hubiesen presentado ante esa Dependencia.</w:t>
      </w:r>
    </w:p>
    <w:p w14:paraId="58DCB315" w14:textId="77777777" w:rsidR="00780D0F" w:rsidRPr="007816F3" w:rsidRDefault="00780D0F" w:rsidP="004215F5">
      <w:pPr>
        <w:jc w:val="both"/>
        <w:rPr>
          <w:rFonts w:ascii="Arial" w:hAnsi="Arial" w:cs="Arial"/>
        </w:rPr>
      </w:pPr>
    </w:p>
    <w:p w14:paraId="25CF008D" w14:textId="77777777" w:rsidR="00780D0F" w:rsidRPr="007816F3" w:rsidRDefault="00780D0F" w:rsidP="004215F5">
      <w:pPr>
        <w:jc w:val="both"/>
        <w:rPr>
          <w:rFonts w:ascii="Arial" w:hAnsi="Arial" w:cs="Arial"/>
        </w:rPr>
      </w:pPr>
      <w:r w:rsidRPr="007816F3">
        <w:rPr>
          <w:rFonts w:ascii="Arial" w:hAnsi="Arial" w:cs="Arial"/>
        </w:rPr>
        <w:t>Las unidades generadoras de ingresos, son las Dependencias y Entidades Paraestatales de la Administración Pública Estatal, así como cada uno de sus establecimientos en los que se otorgue, el uso o aprovechamiento de bienes, o la prestación de servicios por los cuales se cobra un derecho o contraprestación.</w:t>
      </w:r>
    </w:p>
    <w:p w14:paraId="1154E57C" w14:textId="77777777" w:rsidR="00780D0F" w:rsidRPr="007816F3" w:rsidRDefault="00780D0F" w:rsidP="004215F5">
      <w:pPr>
        <w:jc w:val="both"/>
        <w:rPr>
          <w:rFonts w:ascii="Arial" w:hAnsi="Arial" w:cs="Arial"/>
        </w:rPr>
      </w:pPr>
    </w:p>
    <w:p w14:paraId="00F48BBC" w14:textId="77777777" w:rsidR="00780D0F" w:rsidRPr="007816F3" w:rsidRDefault="00780D0F" w:rsidP="004215F5">
      <w:pPr>
        <w:jc w:val="both"/>
        <w:rPr>
          <w:rFonts w:ascii="Arial" w:hAnsi="Arial" w:cs="Arial"/>
        </w:rPr>
      </w:pPr>
      <w:r w:rsidRPr="007816F3">
        <w:rPr>
          <w:rFonts w:ascii="Arial" w:hAnsi="Arial" w:cs="Arial"/>
        </w:rPr>
        <w:t>Se consideran los ingresos generados con motivo del ejercicio de las facultades de fomento al crecimiento económico y la atracción de inversión, infraestructura y fortalecimiento a la competitividad, por lo que se aprueban los actos traslativos de dominio, prestación de servicios y otros sobre el patrimonio del Estado, de la administración centralizada y descentralizada, cuyos recursos estén orientados a la competitividad para generar y promover el empleo.</w:t>
      </w:r>
    </w:p>
    <w:p w14:paraId="40A15BED" w14:textId="77777777" w:rsidR="00780D0F" w:rsidRPr="007816F3" w:rsidRDefault="00780D0F" w:rsidP="004215F5">
      <w:pPr>
        <w:jc w:val="both"/>
        <w:rPr>
          <w:rFonts w:ascii="Arial" w:hAnsi="Arial" w:cs="Arial"/>
        </w:rPr>
      </w:pPr>
    </w:p>
    <w:p w14:paraId="09506885" w14:textId="77777777" w:rsidR="00780D0F" w:rsidRPr="007816F3" w:rsidRDefault="00780D0F" w:rsidP="004215F5">
      <w:pPr>
        <w:jc w:val="both"/>
        <w:rPr>
          <w:rFonts w:ascii="Arial" w:hAnsi="Arial" w:cs="Arial"/>
        </w:rPr>
      </w:pPr>
      <w:r w:rsidRPr="007816F3">
        <w:rPr>
          <w:rFonts w:ascii="Arial" w:hAnsi="Arial" w:cs="Arial"/>
        </w:rPr>
        <w:t>Las Entidades Paraestatales que cubran sus gastos de operación, conservación, mantenimiento e inversión en los términos del primer párrafo de este artículo, lo harán en forma mensual y hasta por el monto presupuestal que para el mes correspondiente se hubiera aprobado por su Órgano de Gobierno, en las entidades de control directo, o bien, autorizado en las entidades de control indirecto.</w:t>
      </w:r>
    </w:p>
    <w:p w14:paraId="6CC677F4" w14:textId="77777777" w:rsidR="00780D0F" w:rsidRPr="007816F3" w:rsidRDefault="00780D0F" w:rsidP="004215F5">
      <w:pPr>
        <w:jc w:val="both"/>
        <w:rPr>
          <w:rFonts w:ascii="Arial" w:hAnsi="Arial" w:cs="Arial"/>
        </w:rPr>
      </w:pPr>
    </w:p>
    <w:p w14:paraId="14F4A9FA" w14:textId="77777777" w:rsidR="00780D0F" w:rsidRPr="007816F3" w:rsidRDefault="00780D0F" w:rsidP="004215F5">
      <w:pPr>
        <w:jc w:val="both"/>
        <w:rPr>
          <w:rFonts w:ascii="Arial" w:hAnsi="Arial" w:cs="Arial"/>
        </w:rPr>
      </w:pPr>
      <w:r w:rsidRPr="007816F3">
        <w:rPr>
          <w:rFonts w:ascii="Arial" w:hAnsi="Arial" w:cs="Arial"/>
        </w:rPr>
        <w:t>Para efectos de la fracción XIII del artículo 14 de la Ley de Entidades Paraestatales para el Estado de Hidalgo, así como de los artículos 19, 20 y 40 de la Ley de Presupuesto y Contabilidad Gubernamental del Estado de Hidalgo, las Entidades Paraestatales solo podrán determinar la existencia de ingresos excedentes, una vez concluido el Ejercicio Fiscal 2025 y presentado el informe a que se refiere el último párrafo del artículo 5 de esta Ley.</w:t>
      </w:r>
    </w:p>
    <w:p w14:paraId="0929A9AD" w14:textId="77777777" w:rsidR="00780D0F" w:rsidRPr="007816F3" w:rsidRDefault="00780D0F" w:rsidP="004215F5">
      <w:pPr>
        <w:jc w:val="both"/>
        <w:rPr>
          <w:rFonts w:ascii="Arial" w:hAnsi="Arial" w:cs="Arial"/>
        </w:rPr>
      </w:pPr>
    </w:p>
    <w:p w14:paraId="1E5EFAC3" w14:textId="77777777" w:rsidR="00780D0F" w:rsidRPr="007816F3" w:rsidRDefault="00780D0F" w:rsidP="004215F5">
      <w:pPr>
        <w:jc w:val="both"/>
        <w:rPr>
          <w:rFonts w:ascii="Arial" w:hAnsi="Arial" w:cs="Arial"/>
        </w:rPr>
      </w:pPr>
      <w:r w:rsidRPr="007816F3">
        <w:rPr>
          <w:rFonts w:ascii="Arial" w:hAnsi="Arial" w:cs="Arial"/>
          <w:b/>
          <w:bCs/>
        </w:rPr>
        <w:t>Artículo 7.</w:t>
      </w:r>
      <w:r w:rsidRPr="007816F3">
        <w:rPr>
          <w:rFonts w:ascii="Arial" w:hAnsi="Arial" w:cs="Arial"/>
        </w:rPr>
        <w:t xml:space="preserve"> Cuando ordenamientos de carácter no fiscal, otorguen una naturaleza distinta a los ingresos que perciban las Dependencias y Entidades Paraestatales de la Administración Pública Estatal, tendrán la naturaleza de los contemplados en esta Ley.</w:t>
      </w:r>
    </w:p>
    <w:p w14:paraId="3CC6C50F" w14:textId="77777777" w:rsidR="00780D0F" w:rsidRPr="007816F3" w:rsidRDefault="00780D0F" w:rsidP="004215F5">
      <w:pPr>
        <w:jc w:val="both"/>
        <w:rPr>
          <w:rFonts w:ascii="Arial" w:hAnsi="Arial" w:cs="Arial"/>
        </w:rPr>
      </w:pPr>
    </w:p>
    <w:p w14:paraId="3082AF76" w14:textId="77777777" w:rsidR="00780D0F" w:rsidRPr="007816F3" w:rsidRDefault="00780D0F" w:rsidP="004215F5">
      <w:pPr>
        <w:jc w:val="both"/>
        <w:rPr>
          <w:rFonts w:ascii="Arial" w:hAnsi="Arial" w:cs="Arial"/>
        </w:rPr>
      </w:pPr>
      <w:r w:rsidRPr="007816F3">
        <w:rPr>
          <w:rFonts w:ascii="Arial" w:hAnsi="Arial" w:cs="Arial"/>
          <w:b/>
          <w:bCs/>
        </w:rPr>
        <w:t>Artículo 8.</w:t>
      </w:r>
      <w:r w:rsidRPr="007816F3">
        <w:rPr>
          <w:rFonts w:ascii="Arial" w:hAnsi="Arial" w:cs="Arial"/>
        </w:rPr>
        <w:t xml:space="preserve"> Las contribuciones contenidas en la presente Ley, cuyo cobro corresponda a la Administración Pública Centralizada, serán recaudadas por la Secretaría de Hacienda.</w:t>
      </w:r>
    </w:p>
    <w:p w14:paraId="209201A2" w14:textId="77777777" w:rsidR="00780D0F" w:rsidRPr="007816F3" w:rsidRDefault="00780D0F" w:rsidP="004215F5">
      <w:pPr>
        <w:jc w:val="both"/>
        <w:rPr>
          <w:rFonts w:ascii="Arial" w:hAnsi="Arial" w:cs="Arial"/>
        </w:rPr>
      </w:pPr>
    </w:p>
    <w:p w14:paraId="1C556D6F" w14:textId="77777777" w:rsidR="00780D0F" w:rsidRPr="007816F3" w:rsidRDefault="00780D0F" w:rsidP="004215F5">
      <w:pPr>
        <w:jc w:val="both"/>
        <w:rPr>
          <w:rFonts w:ascii="Arial" w:hAnsi="Arial" w:cs="Arial"/>
        </w:rPr>
      </w:pPr>
      <w:r w:rsidRPr="007816F3">
        <w:rPr>
          <w:rFonts w:ascii="Arial" w:hAnsi="Arial" w:cs="Arial"/>
        </w:rPr>
        <w:t>Las Contribuciones de las Entidades Paraestatales serán recaudadas directamente por éstas, y estarán obligadas a rendir la información requerida por la Secretaría de Hacienda para la integración de la Cuenta de la Hacienda Pública del Estado. Sin perjuicio de lo anterior, el Poder Ejecutivo, por conducto de la Secretaría de Hacienda, podrá disponer, que las funciones de cobro de las contribuciones correspondientes a las Entidades Paraestatales se realicen, temporal o permanentemente, de manera centralizada, en cuyo caso, deberán transferirse a las citadas entidades los montos respectivos, para dar cumplimiento a los compromisos presupuestales que éstas adquieran en términos del Presupuesto de Egresos del Estado.</w:t>
      </w:r>
    </w:p>
    <w:p w14:paraId="1453FD0A" w14:textId="77777777" w:rsidR="00780D0F" w:rsidRPr="007816F3" w:rsidRDefault="00780D0F" w:rsidP="004215F5">
      <w:pPr>
        <w:jc w:val="both"/>
        <w:rPr>
          <w:rFonts w:ascii="Arial" w:hAnsi="Arial" w:cs="Arial"/>
        </w:rPr>
      </w:pPr>
    </w:p>
    <w:p w14:paraId="751F2792" w14:textId="77777777" w:rsidR="00780D0F" w:rsidRPr="007816F3" w:rsidRDefault="00780D0F" w:rsidP="004215F5">
      <w:pPr>
        <w:jc w:val="both"/>
        <w:rPr>
          <w:rFonts w:ascii="Arial" w:hAnsi="Arial" w:cs="Arial"/>
        </w:rPr>
      </w:pPr>
      <w:r w:rsidRPr="007816F3">
        <w:rPr>
          <w:rFonts w:ascii="Arial" w:hAnsi="Arial" w:cs="Arial"/>
          <w:b/>
          <w:bCs/>
        </w:rPr>
        <w:t>Artículo 9.</w:t>
      </w:r>
      <w:r w:rsidRPr="007816F3">
        <w:rPr>
          <w:rFonts w:ascii="Arial" w:hAnsi="Arial" w:cs="Arial"/>
        </w:rPr>
        <w:t xml:space="preserve"> Lo establecido en los artículos 4, 5, 6, 7 y 8 que anteceden, se aplicará a los ingresos que reciban las dependencias y entidades paraestatales de la Administración Pública Estatal, en términos de la Ley de Presupuesto y Contabilidad Gubernamental del Estado de Hidalgo, así como del Presupuesto de Egresos del Estado.</w:t>
      </w:r>
    </w:p>
    <w:p w14:paraId="473DFC0F" w14:textId="77777777" w:rsidR="00780D0F" w:rsidRPr="007816F3" w:rsidRDefault="00780D0F" w:rsidP="004215F5">
      <w:pPr>
        <w:jc w:val="both"/>
        <w:rPr>
          <w:rFonts w:ascii="Arial" w:hAnsi="Arial" w:cs="Arial"/>
        </w:rPr>
      </w:pPr>
    </w:p>
    <w:p w14:paraId="6171770A" w14:textId="75967D42" w:rsidR="00780D0F" w:rsidRPr="007816F3" w:rsidRDefault="00780D0F" w:rsidP="004215F5">
      <w:pPr>
        <w:jc w:val="both"/>
        <w:rPr>
          <w:rFonts w:ascii="Arial" w:hAnsi="Arial" w:cs="Arial"/>
        </w:rPr>
      </w:pPr>
      <w:r w:rsidRPr="007816F3">
        <w:rPr>
          <w:rFonts w:ascii="Arial" w:hAnsi="Arial" w:cs="Arial"/>
          <w:b/>
          <w:bCs/>
        </w:rPr>
        <w:t>Artículo 10.</w:t>
      </w:r>
      <w:r w:rsidRPr="007816F3">
        <w:rPr>
          <w:rFonts w:ascii="Arial" w:hAnsi="Arial" w:cs="Arial"/>
        </w:rPr>
        <w:t xml:space="preserve"> Las Entidades Paraestatales deberán llevar su registro de ingresos armonizado, de conformidad con lo establecido en la Ley General de Contabilidad Gubernamental, la Ley Estatal de Derechos, además de cumplir con sus obligaciones fiscales, en los términos que disponga la normatividad de la materia.</w:t>
      </w:r>
    </w:p>
    <w:p w14:paraId="155FF8AA" w14:textId="77777777" w:rsidR="00A348B2" w:rsidRPr="007816F3" w:rsidRDefault="00A348B2" w:rsidP="004215F5">
      <w:pPr>
        <w:jc w:val="center"/>
        <w:rPr>
          <w:rFonts w:ascii="Arial" w:hAnsi="Arial" w:cs="Arial"/>
          <w:b/>
          <w:bCs/>
        </w:rPr>
      </w:pPr>
    </w:p>
    <w:p w14:paraId="3CFCFE2B" w14:textId="77777777" w:rsidR="00E5212C" w:rsidRPr="007816F3" w:rsidRDefault="00780D0F" w:rsidP="004215F5">
      <w:pPr>
        <w:jc w:val="center"/>
        <w:rPr>
          <w:rFonts w:ascii="Arial" w:hAnsi="Arial" w:cs="Arial"/>
          <w:b/>
          <w:bCs/>
        </w:rPr>
      </w:pPr>
      <w:r w:rsidRPr="007816F3">
        <w:rPr>
          <w:rFonts w:ascii="Arial" w:hAnsi="Arial" w:cs="Arial"/>
          <w:b/>
          <w:bCs/>
        </w:rPr>
        <w:t xml:space="preserve">CAPÍTULO SEGUNDO </w:t>
      </w:r>
    </w:p>
    <w:p w14:paraId="233FD7D1" w14:textId="5AE27706" w:rsidR="00780D0F" w:rsidRPr="007816F3" w:rsidRDefault="00780D0F" w:rsidP="004215F5">
      <w:pPr>
        <w:jc w:val="center"/>
        <w:rPr>
          <w:rFonts w:ascii="Arial" w:hAnsi="Arial" w:cs="Arial"/>
          <w:b/>
          <w:bCs/>
        </w:rPr>
      </w:pPr>
      <w:r w:rsidRPr="007816F3">
        <w:rPr>
          <w:rFonts w:ascii="Arial" w:hAnsi="Arial" w:cs="Arial"/>
          <w:b/>
          <w:bCs/>
        </w:rPr>
        <w:t>ESTÍMULOS FISCALES</w:t>
      </w:r>
    </w:p>
    <w:p w14:paraId="7710B434" w14:textId="77777777" w:rsidR="00E5212C" w:rsidRPr="007816F3" w:rsidRDefault="00E5212C" w:rsidP="004215F5">
      <w:pPr>
        <w:jc w:val="center"/>
        <w:rPr>
          <w:rFonts w:ascii="Arial" w:hAnsi="Arial" w:cs="Arial"/>
          <w:b/>
          <w:bCs/>
        </w:rPr>
      </w:pPr>
    </w:p>
    <w:p w14:paraId="4E97EF02" w14:textId="50AF7B0E" w:rsidR="00A348B2" w:rsidRPr="007816F3" w:rsidRDefault="00780D0F" w:rsidP="004215F5">
      <w:pPr>
        <w:jc w:val="center"/>
        <w:rPr>
          <w:rFonts w:ascii="Arial" w:hAnsi="Arial" w:cs="Arial"/>
          <w:b/>
          <w:bCs/>
        </w:rPr>
      </w:pPr>
      <w:r w:rsidRPr="007816F3">
        <w:rPr>
          <w:rFonts w:ascii="Arial" w:hAnsi="Arial" w:cs="Arial"/>
          <w:b/>
          <w:bCs/>
        </w:rPr>
        <w:t xml:space="preserve">SECCIÓN I </w:t>
      </w:r>
    </w:p>
    <w:p w14:paraId="634735FB" w14:textId="1DD34F5A" w:rsidR="00780D0F" w:rsidRPr="007816F3" w:rsidRDefault="00780D0F" w:rsidP="004215F5">
      <w:pPr>
        <w:jc w:val="center"/>
        <w:rPr>
          <w:rFonts w:ascii="Arial" w:hAnsi="Arial" w:cs="Arial"/>
          <w:b/>
          <w:bCs/>
        </w:rPr>
      </w:pPr>
      <w:r w:rsidRPr="007816F3">
        <w:rPr>
          <w:rFonts w:ascii="Arial" w:hAnsi="Arial" w:cs="Arial"/>
          <w:b/>
          <w:bCs/>
        </w:rPr>
        <w:t>CONTROL VEHICULAR</w:t>
      </w:r>
    </w:p>
    <w:p w14:paraId="3DEEBBD8" w14:textId="77777777" w:rsidR="00780D0F" w:rsidRPr="007816F3" w:rsidRDefault="00780D0F" w:rsidP="004215F5">
      <w:pPr>
        <w:jc w:val="both"/>
        <w:rPr>
          <w:rFonts w:ascii="Arial" w:hAnsi="Arial" w:cs="Arial"/>
        </w:rPr>
      </w:pPr>
    </w:p>
    <w:p w14:paraId="0AA92942" w14:textId="77777777" w:rsidR="00780D0F" w:rsidRPr="007816F3" w:rsidRDefault="00780D0F" w:rsidP="004215F5">
      <w:pPr>
        <w:jc w:val="both"/>
        <w:rPr>
          <w:rFonts w:ascii="Arial" w:hAnsi="Arial" w:cs="Arial"/>
        </w:rPr>
      </w:pPr>
      <w:r w:rsidRPr="007816F3">
        <w:rPr>
          <w:rFonts w:ascii="Arial" w:hAnsi="Arial" w:cs="Arial"/>
          <w:b/>
          <w:bCs/>
        </w:rPr>
        <w:t>Artículo 11.</w:t>
      </w:r>
      <w:r w:rsidRPr="007816F3">
        <w:rPr>
          <w:rFonts w:ascii="Arial" w:hAnsi="Arial" w:cs="Arial"/>
        </w:rPr>
        <w:t xml:space="preserve"> Se implementa el Refrendo Vehicular 2025 bajo la denominación del Programa “Circula Seguro”, que considera el otorgamiento de los estímulos que se detallan en el presente artículo, a fin de incentivar a las personas físicas y morales que radican en el territorio del Estado, a efectuar los trámites que les permitan estar al corriente, contar con elementos de circulación vigentes y poder circular de manera segura por las carreteras estatales y federales. Con la finalidad de mantener actualizada la base de datos del Padrón Vehicular Estatal, y de esta manera, poder contar con un instrumento que coadyuve a la implementación de políticas en materia de seguridad pública y otorgue certeza jurídica a los propietarios, sin menoscabar el patrimonio de las familias hidalguenses. </w:t>
      </w:r>
    </w:p>
    <w:p w14:paraId="16A09003" w14:textId="77777777" w:rsidR="00780D0F" w:rsidRPr="007816F3" w:rsidRDefault="00780D0F" w:rsidP="004215F5">
      <w:pPr>
        <w:jc w:val="both"/>
        <w:rPr>
          <w:rFonts w:ascii="Arial" w:hAnsi="Arial" w:cs="Arial"/>
        </w:rPr>
      </w:pPr>
    </w:p>
    <w:p w14:paraId="28C17E0F" w14:textId="77777777" w:rsidR="00780D0F" w:rsidRPr="007816F3" w:rsidRDefault="00780D0F" w:rsidP="004215F5">
      <w:pPr>
        <w:jc w:val="both"/>
        <w:rPr>
          <w:rFonts w:ascii="Arial" w:hAnsi="Arial" w:cs="Arial"/>
        </w:rPr>
      </w:pPr>
      <w:r w:rsidRPr="007816F3">
        <w:rPr>
          <w:rFonts w:ascii="Arial" w:hAnsi="Arial" w:cs="Arial"/>
        </w:rPr>
        <w:t>El Programa “Circula Seguro” tendrá una duración del 2 de enero al 30 de junio de 2025, de conformidad con las siguientes:</w:t>
      </w:r>
    </w:p>
    <w:p w14:paraId="220DDD6B" w14:textId="77777777" w:rsidR="00780D0F" w:rsidRPr="007816F3" w:rsidRDefault="00780D0F" w:rsidP="004215F5">
      <w:pPr>
        <w:jc w:val="both"/>
        <w:rPr>
          <w:rFonts w:ascii="Arial" w:hAnsi="Arial" w:cs="Arial"/>
        </w:rPr>
      </w:pPr>
    </w:p>
    <w:p w14:paraId="08F40ECB" w14:textId="255F966E" w:rsidR="00780D0F" w:rsidRPr="007816F3" w:rsidRDefault="00780D0F" w:rsidP="004215F5">
      <w:pPr>
        <w:jc w:val="both"/>
        <w:rPr>
          <w:rFonts w:ascii="Arial" w:hAnsi="Arial" w:cs="Arial"/>
        </w:rPr>
      </w:pPr>
      <w:r w:rsidRPr="007816F3">
        <w:rPr>
          <w:rFonts w:ascii="Arial" w:hAnsi="Arial" w:cs="Arial"/>
          <w:b/>
          <w:bCs/>
        </w:rPr>
        <w:lastRenderedPageBreak/>
        <w:t>I.</w:t>
      </w:r>
      <w:r w:rsidR="00E5212C" w:rsidRPr="007816F3">
        <w:rPr>
          <w:rFonts w:ascii="Arial" w:hAnsi="Arial" w:cs="Arial"/>
        </w:rPr>
        <w:t xml:space="preserve"> </w:t>
      </w:r>
      <w:r w:rsidRPr="007816F3">
        <w:rPr>
          <w:rFonts w:ascii="Arial" w:hAnsi="Arial" w:cs="Arial"/>
        </w:rPr>
        <w:t>Para las y los propietarios o poseedores de vehículos de transporte privado, que se encuentren inscritos en el Registro Vehicular Estatal, quedarán exceptuados del pago del Impuesto sobre Tenencia o Uso de Vehículos del Ejercicio Fiscal 2025, siempre y cuando cumplan con el pago de Refrendo de datos al Registro Vehicular Estatal, de acuerdo a lo siguiente:</w:t>
      </w:r>
    </w:p>
    <w:p w14:paraId="15E828B6" w14:textId="77777777" w:rsidR="00780D0F" w:rsidRPr="007816F3" w:rsidRDefault="00780D0F" w:rsidP="004215F5">
      <w:pPr>
        <w:jc w:val="both"/>
        <w:rPr>
          <w:rFonts w:ascii="Arial" w:hAnsi="Arial" w:cs="Arial"/>
        </w:rPr>
      </w:pPr>
    </w:p>
    <w:p w14:paraId="066E92FB" w14:textId="0B1080D6" w:rsidR="00780D0F" w:rsidRPr="007816F3" w:rsidRDefault="00780D0F" w:rsidP="004215F5">
      <w:pPr>
        <w:jc w:val="both"/>
        <w:rPr>
          <w:rFonts w:ascii="Arial" w:hAnsi="Arial" w:cs="Arial"/>
        </w:rPr>
      </w:pPr>
      <w:r w:rsidRPr="007816F3">
        <w:rPr>
          <w:rFonts w:ascii="Arial" w:hAnsi="Arial" w:cs="Arial"/>
          <w:b/>
          <w:bCs/>
        </w:rPr>
        <w:t>a)</w:t>
      </w:r>
      <w:r w:rsidR="00E5212C" w:rsidRPr="007816F3">
        <w:rPr>
          <w:rFonts w:ascii="Arial" w:hAnsi="Arial" w:cs="Arial"/>
        </w:rPr>
        <w:t xml:space="preserve"> </w:t>
      </w:r>
      <w:r w:rsidRPr="007816F3">
        <w:rPr>
          <w:rFonts w:ascii="Arial" w:hAnsi="Arial" w:cs="Arial"/>
        </w:rPr>
        <w:t>Para las personas físicas y morales que, previo al pago del Refrendo de Datos en el Registro Vehicular Estatal 2025, hayan pagado con antelación el trámite de verificación vehicular correspondiente al primer semestre de 2025, de conformidad con los Acuerdos, Normas y Lineamientos que expida para tal efecto la Secretaría de Medio Ambiente y Recursos Naturales de Hidalgo, pagarán los siguientes conceptos:</w:t>
      </w:r>
    </w:p>
    <w:p w14:paraId="5B0957E3" w14:textId="77777777" w:rsidR="00780D0F" w:rsidRPr="007816F3" w:rsidRDefault="00780D0F" w:rsidP="004215F5">
      <w:pPr>
        <w:jc w:val="both"/>
        <w:rPr>
          <w:rFonts w:ascii="Arial" w:hAnsi="Arial" w:cs="Arial"/>
        </w:rPr>
      </w:pPr>
    </w:p>
    <w:p w14:paraId="107D7BDB" w14:textId="35C5796F"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 xml:space="preserve">Por Refrendo de Datos en el Registro Vehicular Estatal, 9.20 </w:t>
      </w:r>
      <w:proofErr w:type="spellStart"/>
      <w:r w:rsidRPr="007816F3">
        <w:rPr>
          <w:rFonts w:ascii="Arial" w:hAnsi="Arial" w:cs="Arial"/>
        </w:rPr>
        <w:t>UMAS</w:t>
      </w:r>
      <w:proofErr w:type="spellEnd"/>
      <w:r w:rsidRPr="007816F3">
        <w:rPr>
          <w:rFonts w:ascii="Arial" w:hAnsi="Arial" w:cs="Arial"/>
        </w:rPr>
        <w:t xml:space="preserve">, es decir, un descuento de 1.20 </w:t>
      </w:r>
      <w:proofErr w:type="spellStart"/>
      <w:r w:rsidRPr="007816F3">
        <w:rPr>
          <w:rFonts w:ascii="Arial" w:hAnsi="Arial" w:cs="Arial"/>
        </w:rPr>
        <w:t>UMAS</w:t>
      </w:r>
      <w:proofErr w:type="spellEnd"/>
      <w:r w:rsidRPr="007816F3">
        <w:rPr>
          <w:rFonts w:ascii="Arial" w:hAnsi="Arial" w:cs="Arial"/>
        </w:rPr>
        <w:t xml:space="preserve"> de acuerdo con lo previsto en el artículo 33 fracción I, inciso a) numeral 3 de la Ley Estatal de Derechos; y</w:t>
      </w:r>
    </w:p>
    <w:p w14:paraId="3905329D" w14:textId="77777777" w:rsidR="00780D0F" w:rsidRPr="007816F3" w:rsidRDefault="00780D0F" w:rsidP="004215F5">
      <w:pPr>
        <w:jc w:val="both"/>
        <w:rPr>
          <w:rFonts w:ascii="Arial" w:hAnsi="Arial" w:cs="Arial"/>
        </w:rPr>
      </w:pPr>
    </w:p>
    <w:p w14:paraId="17737167" w14:textId="1F8F1E8D"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Si es el caso, los adeudos de Impuesto sobre Tenencia o Uso de Vehículos y Refrendo de Datos en el Registro Vehicular Estatal del Ejercicio Fiscal 2024 y anteriores.</w:t>
      </w:r>
    </w:p>
    <w:p w14:paraId="14AF53ED" w14:textId="51879301" w:rsidR="00780D0F" w:rsidRPr="007816F3" w:rsidRDefault="00780D0F" w:rsidP="004215F5">
      <w:pPr>
        <w:jc w:val="both"/>
        <w:rPr>
          <w:rFonts w:ascii="Arial" w:hAnsi="Arial" w:cs="Arial"/>
        </w:rPr>
      </w:pPr>
      <w:r w:rsidRPr="007816F3">
        <w:rPr>
          <w:rFonts w:ascii="Arial" w:hAnsi="Arial" w:cs="Arial"/>
          <w:b/>
          <w:bCs/>
        </w:rPr>
        <w:t>b)</w:t>
      </w:r>
      <w:r w:rsidR="00E5212C" w:rsidRPr="007816F3">
        <w:rPr>
          <w:rFonts w:ascii="Arial" w:hAnsi="Arial" w:cs="Arial"/>
        </w:rPr>
        <w:t xml:space="preserve"> </w:t>
      </w:r>
      <w:r w:rsidRPr="007816F3">
        <w:rPr>
          <w:rFonts w:ascii="Arial" w:hAnsi="Arial" w:cs="Arial"/>
        </w:rPr>
        <w:t>Para las personas físicas y morales que, previo al pago del Refrendo de Datos en el Registro Vehicular Estatal 2025, no hayan pagado con antelación el trámite de verificación vehicular correspondiente al primer semestre de 2025, de conformidad con los Acuerdos, Normas y Lineamientos que expida para tal efecto la Secretaría de Medio Ambiente y Recursos Naturales de Hidalgo, pagarán los siguientes conceptos:</w:t>
      </w:r>
    </w:p>
    <w:p w14:paraId="25336D09" w14:textId="77777777" w:rsidR="00780D0F" w:rsidRPr="007816F3" w:rsidRDefault="00780D0F" w:rsidP="004215F5">
      <w:pPr>
        <w:jc w:val="both"/>
        <w:rPr>
          <w:rFonts w:ascii="Arial" w:hAnsi="Arial" w:cs="Arial"/>
        </w:rPr>
      </w:pPr>
    </w:p>
    <w:p w14:paraId="40EAC61D" w14:textId="26BB3110"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 xml:space="preserve">Por Refrendo de Datos en el Registro Vehicular Estatal 10.4 </w:t>
      </w:r>
      <w:proofErr w:type="spellStart"/>
      <w:r w:rsidRPr="007816F3">
        <w:rPr>
          <w:rFonts w:ascii="Arial" w:hAnsi="Arial" w:cs="Arial"/>
        </w:rPr>
        <w:t>UMAS</w:t>
      </w:r>
      <w:proofErr w:type="spellEnd"/>
      <w:r w:rsidRPr="007816F3">
        <w:rPr>
          <w:rFonts w:ascii="Arial" w:hAnsi="Arial" w:cs="Arial"/>
        </w:rPr>
        <w:t>, de acuerdo con lo previsto en el artículo 33 fracción I, inciso a) numeral 3 de la Ley Estatal de Derechos; y</w:t>
      </w:r>
    </w:p>
    <w:p w14:paraId="09BF2A32" w14:textId="77777777" w:rsidR="00780D0F" w:rsidRPr="007816F3" w:rsidRDefault="00780D0F" w:rsidP="004215F5">
      <w:pPr>
        <w:jc w:val="both"/>
        <w:rPr>
          <w:rFonts w:ascii="Arial" w:hAnsi="Arial" w:cs="Arial"/>
        </w:rPr>
      </w:pPr>
    </w:p>
    <w:p w14:paraId="05C2639C" w14:textId="5A2562E5"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Si es el caso, los adeudos de Impuesto sobre Tenencia o Uso de Vehículos y Refrendo de Datos en el Registro Vehicular Estatal del Ejercicio Fiscal 2024 y anteriores.</w:t>
      </w:r>
    </w:p>
    <w:p w14:paraId="0D7407EE" w14:textId="77777777" w:rsidR="00780D0F" w:rsidRPr="007816F3" w:rsidRDefault="00780D0F" w:rsidP="004215F5">
      <w:pPr>
        <w:jc w:val="both"/>
        <w:rPr>
          <w:rFonts w:ascii="Arial" w:hAnsi="Arial" w:cs="Arial"/>
        </w:rPr>
      </w:pPr>
    </w:p>
    <w:p w14:paraId="3760E80A" w14:textId="7E17E99B" w:rsidR="00780D0F" w:rsidRPr="007816F3" w:rsidRDefault="00780D0F" w:rsidP="004215F5">
      <w:pPr>
        <w:jc w:val="both"/>
        <w:rPr>
          <w:rFonts w:ascii="Arial" w:hAnsi="Arial" w:cs="Arial"/>
        </w:rPr>
      </w:pPr>
      <w:r w:rsidRPr="007816F3">
        <w:rPr>
          <w:rFonts w:ascii="Arial" w:hAnsi="Arial" w:cs="Arial"/>
          <w:b/>
          <w:bCs/>
        </w:rPr>
        <w:t>II.</w:t>
      </w:r>
      <w:r w:rsidR="00E5212C" w:rsidRPr="007816F3">
        <w:rPr>
          <w:rFonts w:ascii="Arial" w:hAnsi="Arial" w:cs="Arial"/>
        </w:rPr>
        <w:t xml:space="preserve"> </w:t>
      </w:r>
      <w:r w:rsidRPr="007816F3">
        <w:rPr>
          <w:rFonts w:ascii="Arial" w:hAnsi="Arial" w:cs="Arial"/>
        </w:rPr>
        <w:t>Para las personas físicas y morales propietarias de motocicletas y remolques inscritos en el Registro Vehicular Estatal, quedarán exceptuados del pago del Impuesto sobre Tenencia o Uso de Vehículos del Ejercicio Fiscal 2025, siempre y cuando cumplan con el pago de Refrendo de datos al Registro Vehicular Estatal, de acuerdo a lo siguiente:</w:t>
      </w:r>
    </w:p>
    <w:p w14:paraId="1BB2926A" w14:textId="77777777" w:rsidR="00780D0F" w:rsidRPr="007816F3" w:rsidRDefault="00780D0F" w:rsidP="004215F5">
      <w:pPr>
        <w:jc w:val="both"/>
        <w:rPr>
          <w:rFonts w:ascii="Arial" w:hAnsi="Arial" w:cs="Arial"/>
        </w:rPr>
      </w:pPr>
    </w:p>
    <w:p w14:paraId="2CA7AAA0" w14:textId="539CD9C5"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 xml:space="preserve">Por Refrendo de Datos en el Registro Vehicular Estatal 7.26 </w:t>
      </w:r>
      <w:proofErr w:type="spellStart"/>
      <w:r w:rsidRPr="007816F3">
        <w:rPr>
          <w:rFonts w:ascii="Arial" w:hAnsi="Arial" w:cs="Arial"/>
        </w:rPr>
        <w:t>UMAS</w:t>
      </w:r>
      <w:proofErr w:type="spellEnd"/>
      <w:r w:rsidRPr="007816F3">
        <w:rPr>
          <w:rFonts w:ascii="Arial" w:hAnsi="Arial" w:cs="Arial"/>
        </w:rPr>
        <w:t xml:space="preserve">, de acuerdo con lo previsto en el artículo 33 fracción I, inciso g) numeral 3 de la Ley Estatal de Derechos. Más, si es el caso, el Impuesto sobre Tenencia o Uso de Vehículos del Ejercicio Fiscal 2024 y/o anteriores. </w:t>
      </w:r>
    </w:p>
    <w:p w14:paraId="374985DB" w14:textId="77777777" w:rsidR="00780D0F" w:rsidRPr="007816F3" w:rsidRDefault="00780D0F" w:rsidP="004215F5">
      <w:pPr>
        <w:jc w:val="both"/>
        <w:rPr>
          <w:rFonts w:ascii="Arial" w:hAnsi="Arial" w:cs="Arial"/>
        </w:rPr>
      </w:pPr>
    </w:p>
    <w:p w14:paraId="1AA0F236" w14:textId="2071635D" w:rsidR="00780D0F" w:rsidRPr="007816F3" w:rsidRDefault="00780D0F" w:rsidP="004215F5">
      <w:pPr>
        <w:jc w:val="both"/>
        <w:rPr>
          <w:rFonts w:ascii="Arial" w:hAnsi="Arial" w:cs="Arial"/>
        </w:rPr>
      </w:pPr>
      <w:r w:rsidRPr="007816F3">
        <w:rPr>
          <w:rFonts w:ascii="Arial" w:hAnsi="Arial" w:cs="Arial"/>
          <w:b/>
          <w:bCs/>
        </w:rPr>
        <w:t>III.</w:t>
      </w:r>
      <w:r w:rsidR="00E5212C" w:rsidRPr="007816F3">
        <w:rPr>
          <w:rFonts w:ascii="Arial" w:hAnsi="Arial" w:cs="Arial"/>
        </w:rPr>
        <w:t xml:space="preserve"> </w:t>
      </w:r>
      <w:r w:rsidRPr="007816F3">
        <w:rPr>
          <w:rFonts w:ascii="Arial" w:hAnsi="Arial" w:cs="Arial"/>
        </w:rPr>
        <w:t>Para las y los propietarios o poseedores de vehículos de transporte para personas con discapacidad, que se encuentren inscritos en el Registro Vehicular Estatal, quedarán exceptuados del pago del Impuesto sobre Tenencia o Uso de Vehículos del Ejercicio Fiscal 2025, siempre y cuando cumplan con el pago de Refrendo de datos al Registro Vehicular Estatal, de acuerdo a lo siguiente:</w:t>
      </w:r>
    </w:p>
    <w:p w14:paraId="2B78B851" w14:textId="77777777" w:rsidR="00780D0F" w:rsidRPr="007816F3" w:rsidRDefault="00780D0F" w:rsidP="004215F5">
      <w:pPr>
        <w:jc w:val="both"/>
        <w:rPr>
          <w:rFonts w:ascii="Arial" w:hAnsi="Arial" w:cs="Arial"/>
        </w:rPr>
      </w:pPr>
    </w:p>
    <w:p w14:paraId="5143C5D4" w14:textId="7807A07C"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 xml:space="preserve">Por Refrendo de Datos en el Registro Vehicular Estatal, 5.2 </w:t>
      </w:r>
      <w:proofErr w:type="spellStart"/>
      <w:r w:rsidRPr="007816F3">
        <w:rPr>
          <w:rFonts w:ascii="Arial" w:hAnsi="Arial" w:cs="Arial"/>
        </w:rPr>
        <w:t>UMAS</w:t>
      </w:r>
      <w:proofErr w:type="spellEnd"/>
      <w:r w:rsidRPr="007816F3">
        <w:rPr>
          <w:rFonts w:ascii="Arial" w:hAnsi="Arial" w:cs="Arial"/>
        </w:rPr>
        <w:t>, de acuerdo con lo previsto en el artículo 33 fracción I, inciso c) numeral 3 de la Ley Estatal de Derechos; y</w:t>
      </w:r>
    </w:p>
    <w:p w14:paraId="30093E04" w14:textId="77777777" w:rsidR="00780D0F" w:rsidRPr="007816F3" w:rsidRDefault="00780D0F" w:rsidP="004215F5">
      <w:pPr>
        <w:jc w:val="both"/>
        <w:rPr>
          <w:rFonts w:ascii="Arial" w:hAnsi="Arial" w:cs="Arial"/>
        </w:rPr>
      </w:pPr>
    </w:p>
    <w:p w14:paraId="6D9CFDC9" w14:textId="65CCDE5B"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Si es el caso, los adeudos de Impuesto sobre Tenencia o Uso de Vehículos y Refrendo de Datos en el Registro Vehicular Estatal del Ejercicio Fiscal 2024 y anteriores.</w:t>
      </w:r>
    </w:p>
    <w:p w14:paraId="3AC0FC29" w14:textId="77777777" w:rsidR="00780D0F" w:rsidRPr="007816F3" w:rsidRDefault="00780D0F" w:rsidP="004215F5">
      <w:pPr>
        <w:jc w:val="both"/>
        <w:rPr>
          <w:rFonts w:ascii="Arial" w:hAnsi="Arial" w:cs="Arial"/>
        </w:rPr>
      </w:pPr>
    </w:p>
    <w:p w14:paraId="1896795A" w14:textId="34D961FE" w:rsidR="00780D0F" w:rsidRPr="007816F3" w:rsidRDefault="00780D0F" w:rsidP="004215F5">
      <w:pPr>
        <w:jc w:val="both"/>
        <w:rPr>
          <w:rFonts w:ascii="Arial" w:hAnsi="Arial" w:cs="Arial"/>
        </w:rPr>
      </w:pPr>
      <w:r w:rsidRPr="007816F3">
        <w:rPr>
          <w:rFonts w:ascii="Arial" w:hAnsi="Arial" w:cs="Arial"/>
          <w:b/>
          <w:bCs/>
        </w:rPr>
        <w:t>IV.</w:t>
      </w:r>
      <w:r w:rsidR="00E5212C" w:rsidRPr="007816F3">
        <w:rPr>
          <w:rFonts w:ascii="Arial" w:hAnsi="Arial" w:cs="Arial"/>
        </w:rPr>
        <w:t xml:space="preserve"> </w:t>
      </w:r>
      <w:r w:rsidRPr="007816F3">
        <w:rPr>
          <w:rFonts w:ascii="Arial" w:hAnsi="Arial" w:cs="Arial"/>
        </w:rPr>
        <w:t>Para las y los propietarios o poseedores de vehículos de transporte público, que se encuentren inscritos en el Registro Vehicular Estatal, quedarán exceptuados del pago del Impuesto sobre Tenencia o Uso de Vehículos del Ejercicio Fiscal 2025, siempre y cuando cumplan con el pago de Refrendo de datos al Registro Vehicular Estatal, de acuerdo a lo siguiente:</w:t>
      </w:r>
    </w:p>
    <w:p w14:paraId="5FBA3DF9" w14:textId="77777777" w:rsidR="00780D0F" w:rsidRPr="007816F3" w:rsidRDefault="00780D0F" w:rsidP="004215F5">
      <w:pPr>
        <w:jc w:val="both"/>
        <w:rPr>
          <w:rFonts w:ascii="Arial" w:hAnsi="Arial" w:cs="Arial"/>
        </w:rPr>
      </w:pPr>
    </w:p>
    <w:p w14:paraId="06E84FDA" w14:textId="6209FE12" w:rsidR="00780D0F" w:rsidRPr="007816F3" w:rsidRDefault="00780D0F" w:rsidP="004215F5">
      <w:pPr>
        <w:jc w:val="both"/>
        <w:rPr>
          <w:rFonts w:ascii="Arial" w:hAnsi="Arial" w:cs="Arial"/>
        </w:rPr>
      </w:pPr>
      <w:r w:rsidRPr="007816F3">
        <w:rPr>
          <w:rFonts w:ascii="Arial" w:hAnsi="Arial" w:cs="Arial"/>
          <w:b/>
          <w:bCs/>
        </w:rPr>
        <w:t>a)</w:t>
      </w:r>
      <w:r w:rsidR="00E5212C" w:rsidRPr="007816F3">
        <w:rPr>
          <w:rFonts w:ascii="Arial" w:hAnsi="Arial" w:cs="Arial"/>
        </w:rPr>
        <w:t xml:space="preserve"> </w:t>
      </w:r>
      <w:r w:rsidRPr="007816F3">
        <w:rPr>
          <w:rFonts w:ascii="Arial" w:hAnsi="Arial" w:cs="Arial"/>
        </w:rPr>
        <w:t>Para las personas físicas y morales que, previo al pago del Refrendo de Datos en el Registro Vehicular Estatal 2025, hayan pagado con antelación el trámite de verificación vehicular correspondiente al primer semestre de 2025, de conformidad con los Acuerdos, Normas y Lineamientos que expida para tal efecto la Secretaría de Medio Ambiente y Recursos Naturales de Hidalgo, pagarán los siguientes conceptos:</w:t>
      </w:r>
    </w:p>
    <w:p w14:paraId="194C223C" w14:textId="77777777" w:rsidR="00780D0F" w:rsidRPr="007816F3" w:rsidRDefault="00780D0F" w:rsidP="004215F5">
      <w:pPr>
        <w:jc w:val="both"/>
        <w:rPr>
          <w:rFonts w:ascii="Arial" w:hAnsi="Arial" w:cs="Arial"/>
        </w:rPr>
      </w:pPr>
    </w:p>
    <w:p w14:paraId="18CA0894" w14:textId="3CB30CA9"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 xml:space="preserve">Por Refrendo de Datos en el Registro Vehicular Estatal, 11.97 </w:t>
      </w:r>
      <w:proofErr w:type="spellStart"/>
      <w:r w:rsidRPr="007816F3">
        <w:rPr>
          <w:rFonts w:ascii="Arial" w:hAnsi="Arial" w:cs="Arial"/>
        </w:rPr>
        <w:t>UMAS</w:t>
      </w:r>
      <w:proofErr w:type="spellEnd"/>
      <w:r w:rsidRPr="007816F3">
        <w:rPr>
          <w:rFonts w:ascii="Arial" w:hAnsi="Arial" w:cs="Arial"/>
        </w:rPr>
        <w:t xml:space="preserve">, es decir, un descuento de 1.03 </w:t>
      </w:r>
      <w:proofErr w:type="spellStart"/>
      <w:r w:rsidRPr="007816F3">
        <w:rPr>
          <w:rFonts w:ascii="Arial" w:hAnsi="Arial" w:cs="Arial"/>
        </w:rPr>
        <w:t>UMAS</w:t>
      </w:r>
      <w:proofErr w:type="spellEnd"/>
      <w:r w:rsidRPr="007816F3">
        <w:rPr>
          <w:rFonts w:ascii="Arial" w:hAnsi="Arial" w:cs="Arial"/>
        </w:rPr>
        <w:t xml:space="preserve"> de acuerdo con lo previsto en el artículo 33 fracción I, inciso d) numeral 3 de la Ley Estatal de Derechos; y </w:t>
      </w:r>
    </w:p>
    <w:p w14:paraId="19B7D2C3" w14:textId="77777777" w:rsidR="00780D0F" w:rsidRPr="007816F3" w:rsidRDefault="00780D0F" w:rsidP="004215F5">
      <w:pPr>
        <w:jc w:val="both"/>
        <w:rPr>
          <w:rFonts w:ascii="Arial" w:hAnsi="Arial" w:cs="Arial"/>
        </w:rPr>
      </w:pPr>
    </w:p>
    <w:p w14:paraId="3C1D30C5" w14:textId="6BF0988C"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Si es el caso, los adeudos de Impuesto sobre Tenencia o Uso de Vehículos y Refrendo de Datos en el Registro Vehicular Estatal del Ejercicio Fiscal 2024 y anteriores.</w:t>
      </w:r>
    </w:p>
    <w:p w14:paraId="46E4DCAB" w14:textId="77777777" w:rsidR="00780D0F" w:rsidRPr="007816F3" w:rsidRDefault="00780D0F" w:rsidP="004215F5">
      <w:pPr>
        <w:jc w:val="both"/>
        <w:rPr>
          <w:rFonts w:ascii="Arial" w:hAnsi="Arial" w:cs="Arial"/>
        </w:rPr>
      </w:pPr>
    </w:p>
    <w:p w14:paraId="54F26390" w14:textId="498C615A" w:rsidR="00780D0F" w:rsidRPr="007816F3" w:rsidRDefault="00780D0F" w:rsidP="004215F5">
      <w:pPr>
        <w:jc w:val="both"/>
        <w:rPr>
          <w:rFonts w:ascii="Arial" w:hAnsi="Arial" w:cs="Arial"/>
        </w:rPr>
      </w:pPr>
      <w:r w:rsidRPr="007816F3">
        <w:rPr>
          <w:rFonts w:ascii="Arial" w:hAnsi="Arial" w:cs="Arial"/>
          <w:b/>
          <w:bCs/>
        </w:rPr>
        <w:t>b)</w:t>
      </w:r>
      <w:r w:rsidR="00E5212C" w:rsidRPr="007816F3">
        <w:rPr>
          <w:rFonts w:ascii="Arial" w:hAnsi="Arial" w:cs="Arial"/>
        </w:rPr>
        <w:t xml:space="preserve"> </w:t>
      </w:r>
      <w:r w:rsidRPr="007816F3">
        <w:rPr>
          <w:rFonts w:ascii="Arial" w:hAnsi="Arial" w:cs="Arial"/>
        </w:rPr>
        <w:t>Para las personas físicas y morales que, previo al pago del Refrendo de Datos en el Registro Vehicular Estatal 2025, no hayan pagado con antelación el trámite de verificación vehicular correspondiente al primer semestre de 2025, de conformidad con los Acuerdos, Normas y Lineamientos que expida para tal efecto la Secretaría de Medio Ambiente y Recursos Naturales de Hidalgo, pagarán los siguientes conceptos:</w:t>
      </w:r>
    </w:p>
    <w:p w14:paraId="71E2642D" w14:textId="77777777" w:rsidR="00780D0F" w:rsidRPr="007816F3" w:rsidRDefault="00780D0F" w:rsidP="004215F5">
      <w:pPr>
        <w:jc w:val="both"/>
        <w:rPr>
          <w:rFonts w:ascii="Arial" w:hAnsi="Arial" w:cs="Arial"/>
        </w:rPr>
      </w:pPr>
    </w:p>
    <w:p w14:paraId="1529FC86" w14:textId="1C09FA70"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 xml:space="preserve">Por Refrendo de Datos en el Registro Vehicular Estatal 13 </w:t>
      </w:r>
      <w:proofErr w:type="spellStart"/>
      <w:r w:rsidRPr="007816F3">
        <w:rPr>
          <w:rFonts w:ascii="Arial" w:hAnsi="Arial" w:cs="Arial"/>
        </w:rPr>
        <w:t>UMAS</w:t>
      </w:r>
      <w:proofErr w:type="spellEnd"/>
      <w:r w:rsidRPr="007816F3">
        <w:rPr>
          <w:rFonts w:ascii="Arial" w:hAnsi="Arial" w:cs="Arial"/>
        </w:rPr>
        <w:t>, de acuerdo con lo previsto en el artículo 33 fracción I, inciso d) numeral 3 de la Ley Estatal de Derechos; y</w:t>
      </w:r>
    </w:p>
    <w:p w14:paraId="06C962FF" w14:textId="77777777" w:rsidR="00780D0F" w:rsidRPr="007816F3" w:rsidRDefault="00780D0F" w:rsidP="004215F5">
      <w:pPr>
        <w:jc w:val="both"/>
        <w:rPr>
          <w:rFonts w:ascii="Arial" w:hAnsi="Arial" w:cs="Arial"/>
        </w:rPr>
      </w:pPr>
    </w:p>
    <w:p w14:paraId="76E77A98" w14:textId="3FEE2C85"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Si es el caso, los adeudos de Impuesto sobre Tenencia o Uso de Vehículos y Refrendo de Datos en el Registro Vehicular Estatal del Ejercicio Fiscal 2024 y anteriores.</w:t>
      </w:r>
    </w:p>
    <w:p w14:paraId="29570EA2" w14:textId="77777777" w:rsidR="00780D0F" w:rsidRPr="007816F3" w:rsidRDefault="00780D0F" w:rsidP="004215F5">
      <w:pPr>
        <w:jc w:val="both"/>
        <w:rPr>
          <w:rFonts w:ascii="Arial" w:hAnsi="Arial" w:cs="Arial"/>
        </w:rPr>
      </w:pPr>
    </w:p>
    <w:p w14:paraId="0BD9289C" w14:textId="30A39EA5" w:rsidR="00780D0F" w:rsidRPr="007816F3" w:rsidRDefault="00780D0F" w:rsidP="004215F5">
      <w:pPr>
        <w:jc w:val="both"/>
        <w:rPr>
          <w:rFonts w:ascii="Arial" w:hAnsi="Arial" w:cs="Arial"/>
        </w:rPr>
      </w:pPr>
      <w:r w:rsidRPr="007816F3">
        <w:rPr>
          <w:rFonts w:ascii="Arial" w:hAnsi="Arial" w:cs="Arial"/>
          <w:b/>
          <w:bCs/>
        </w:rPr>
        <w:t>V.</w:t>
      </w:r>
      <w:r w:rsidR="00E5212C" w:rsidRPr="007816F3">
        <w:rPr>
          <w:rFonts w:ascii="Arial" w:hAnsi="Arial" w:cs="Arial"/>
        </w:rPr>
        <w:t xml:space="preserve"> </w:t>
      </w:r>
      <w:r w:rsidRPr="007816F3">
        <w:rPr>
          <w:rFonts w:ascii="Arial" w:hAnsi="Arial" w:cs="Arial"/>
        </w:rPr>
        <w:t>Para las personas físicas y morales que tengan bajo su resguardo placas de demostración, que se encuentren inscritos en el Registro Vehicular Estatal, pagarán los siguientes conceptos:</w:t>
      </w:r>
    </w:p>
    <w:p w14:paraId="24F78E4A" w14:textId="77777777" w:rsidR="00780D0F" w:rsidRPr="007816F3" w:rsidRDefault="00780D0F" w:rsidP="004215F5">
      <w:pPr>
        <w:jc w:val="both"/>
        <w:rPr>
          <w:rFonts w:ascii="Arial" w:hAnsi="Arial" w:cs="Arial"/>
        </w:rPr>
      </w:pPr>
    </w:p>
    <w:p w14:paraId="481A6767" w14:textId="661FC919"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 xml:space="preserve">Por Refrendo Anual para su Utilización 19.5 </w:t>
      </w:r>
      <w:proofErr w:type="spellStart"/>
      <w:r w:rsidRPr="007816F3">
        <w:rPr>
          <w:rFonts w:ascii="Arial" w:hAnsi="Arial" w:cs="Arial"/>
        </w:rPr>
        <w:t>UMAS</w:t>
      </w:r>
      <w:proofErr w:type="spellEnd"/>
      <w:r w:rsidRPr="007816F3">
        <w:rPr>
          <w:rFonts w:ascii="Arial" w:hAnsi="Arial" w:cs="Arial"/>
        </w:rPr>
        <w:t xml:space="preserve">, de acuerdo con lo previsto en el artículo 33 fracción I, inciso b) numeral 3 de la Ley Estatal de Derechos; y </w:t>
      </w:r>
    </w:p>
    <w:p w14:paraId="37FDAEF0" w14:textId="77777777" w:rsidR="00780D0F" w:rsidRPr="007816F3" w:rsidRDefault="00780D0F" w:rsidP="004215F5">
      <w:pPr>
        <w:jc w:val="both"/>
        <w:rPr>
          <w:rFonts w:ascii="Arial" w:hAnsi="Arial" w:cs="Arial"/>
        </w:rPr>
      </w:pPr>
    </w:p>
    <w:p w14:paraId="1A2D02D5" w14:textId="08122B04"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Si es el caso, los adeudos de Refrendo Anual para su Utilización del Ejercicio Fiscal 2024 y anteriores.</w:t>
      </w:r>
    </w:p>
    <w:p w14:paraId="4BD27075" w14:textId="77777777" w:rsidR="00780D0F" w:rsidRPr="007816F3" w:rsidRDefault="00780D0F" w:rsidP="004215F5">
      <w:pPr>
        <w:jc w:val="both"/>
        <w:rPr>
          <w:rFonts w:ascii="Arial" w:hAnsi="Arial" w:cs="Arial"/>
        </w:rPr>
      </w:pPr>
    </w:p>
    <w:p w14:paraId="6331127E" w14:textId="3EF38840" w:rsidR="00780D0F" w:rsidRPr="007816F3" w:rsidRDefault="00780D0F" w:rsidP="004215F5">
      <w:pPr>
        <w:jc w:val="both"/>
        <w:rPr>
          <w:rFonts w:ascii="Arial" w:hAnsi="Arial" w:cs="Arial"/>
        </w:rPr>
      </w:pPr>
      <w:r w:rsidRPr="007816F3">
        <w:rPr>
          <w:rFonts w:ascii="Arial" w:hAnsi="Arial" w:cs="Arial"/>
          <w:b/>
          <w:bCs/>
        </w:rPr>
        <w:t>VI.</w:t>
      </w:r>
      <w:r w:rsidR="00E5212C" w:rsidRPr="007816F3">
        <w:rPr>
          <w:rFonts w:ascii="Arial" w:hAnsi="Arial" w:cs="Arial"/>
        </w:rPr>
        <w:t xml:space="preserve"> </w:t>
      </w:r>
      <w:r w:rsidRPr="007816F3">
        <w:rPr>
          <w:rFonts w:ascii="Arial" w:hAnsi="Arial" w:cs="Arial"/>
        </w:rPr>
        <w:t xml:space="preserve">Para las y los propietarios o poseedores de motocicletas y remolques, domiciliados en el Estado de Hidalgo, que nunca hayan sido </w:t>
      </w:r>
      <w:proofErr w:type="spellStart"/>
      <w:r w:rsidRPr="007816F3">
        <w:rPr>
          <w:rFonts w:ascii="Arial" w:hAnsi="Arial" w:cs="Arial"/>
        </w:rPr>
        <w:t>emplacados</w:t>
      </w:r>
      <w:proofErr w:type="spellEnd"/>
      <w:r w:rsidRPr="007816F3">
        <w:rPr>
          <w:rFonts w:ascii="Arial" w:hAnsi="Arial" w:cs="Arial"/>
        </w:rPr>
        <w:t xml:space="preserve"> en el estado, quedarán exceptuados del pago del Impuesto sobre Tenencia o Uso de Vehículos del Ejercicio Fiscal 2025, siempre y cuando cumplan con el pago de Refrendo de datos al Registro Vehicular Estatal, de acuerdo a lo siguiente:</w:t>
      </w:r>
    </w:p>
    <w:p w14:paraId="6C9F4B61" w14:textId="77777777" w:rsidR="00780D0F" w:rsidRPr="007816F3" w:rsidRDefault="00780D0F" w:rsidP="004215F5">
      <w:pPr>
        <w:jc w:val="both"/>
        <w:rPr>
          <w:rFonts w:ascii="Arial" w:hAnsi="Arial" w:cs="Arial"/>
        </w:rPr>
      </w:pPr>
    </w:p>
    <w:p w14:paraId="361BBFC0" w14:textId="795B84D9"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 xml:space="preserve">Por Incorporación al Registro Vehicular Estatal, 7.26 </w:t>
      </w:r>
      <w:proofErr w:type="spellStart"/>
      <w:r w:rsidRPr="007816F3">
        <w:rPr>
          <w:rFonts w:ascii="Arial" w:hAnsi="Arial" w:cs="Arial"/>
        </w:rPr>
        <w:t>UMAS</w:t>
      </w:r>
      <w:proofErr w:type="spellEnd"/>
      <w:r w:rsidRPr="007816F3">
        <w:rPr>
          <w:rFonts w:ascii="Arial" w:hAnsi="Arial" w:cs="Arial"/>
        </w:rPr>
        <w:t xml:space="preserve">, de acuerdo con lo previsto en el artículo 33 fracción I, inciso g) numeral 1 de la Ley Estatal de Derechos; y  </w:t>
      </w:r>
    </w:p>
    <w:p w14:paraId="6197F7CC" w14:textId="77777777" w:rsidR="00780D0F" w:rsidRPr="007816F3" w:rsidRDefault="00780D0F" w:rsidP="004215F5">
      <w:pPr>
        <w:jc w:val="both"/>
        <w:rPr>
          <w:rFonts w:ascii="Arial" w:hAnsi="Arial" w:cs="Arial"/>
        </w:rPr>
      </w:pPr>
    </w:p>
    <w:p w14:paraId="1E0A3F27" w14:textId="12F750C2"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 xml:space="preserve">Por la actualización de datos al Registro Vehicular Estatal </w:t>
      </w:r>
      <w:proofErr w:type="gramStart"/>
      <w:r w:rsidRPr="007816F3">
        <w:rPr>
          <w:rFonts w:ascii="Arial" w:hAnsi="Arial" w:cs="Arial"/>
        </w:rPr>
        <w:t>que</w:t>
      </w:r>
      <w:proofErr w:type="gramEnd"/>
      <w:r w:rsidRPr="007816F3">
        <w:rPr>
          <w:rFonts w:ascii="Arial" w:hAnsi="Arial" w:cs="Arial"/>
        </w:rPr>
        <w:t xml:space="preserve"> de origen al canje de placas metálicas, 7.26 </w:t>
      </w:r>
      <w:proofErr w:type="spellStart"/>
      <w:r w:rsidRPr="007816F3">
        <w:rPr>
          <w:rFonts w:ascii="Arial" w:hAnsi="Arial" w:cs="Arial"/>
        </w:rPr>
        <w:t>UMAS</w:t>
      </w:r>
      <w:proofErr w:type="spellEnd"/>
      <w:r w:rsidRPr="007816F3">
        <w:rPr>
          <w:rFonts w:ascii="Arial" w:hAnsi="Arial" w:cs="Arial"/>
        </w:rPr>
        <w:t>, de acuerdo con lo señalado en el artículo 33 fracción I, inciso g) numeral 2 de la Ley Estatal de Derechos.</w:t>
      </w:r>
    </w:p>
    <w:p w14:paraId="0A25802E" w14:textId="77777777" w:rsidR="00780D0F" w:rsidRPr="007816F3" w:rsidRDefault="00780D0F" w:rsidP="004215F5">
      <w:pPr>
        <w:jc w:val="both"/>
        <w:rPr>
          <w:rFonts w:ascii="Arial" w:hAnsi="Arial" w:cs="Arial"/>
        </w:rPr>
      </w:pPr>
    </w:p>
    <w:p w14:paraId="5BB3235A" w14:textId="59B10297" w:rsidR="00780D0F" w:rsidRPr="007816F3" w:rsidRDefault="00780D0F" w:rsidP="004215F5">
      <w:pPr>
        <w:jc w:val="both"/>
        <w:rPr>
          <w:rFonts w:ascii="Arial" w:hAnsi="Arial" w:cs="Arial"/>
        </w:rPr>
      </w:pPr>
      <w:r w:rsidRPr="007816F3">
        <w:rPr>
          <w:rFonts w:ascii="Arial" w:hAnsi="Arial" w:cs="Arial"/>
          <w:b/>
          <w:bCs/>
        </w:rPr>
        <w:t>VII.</w:t>
      </w:r>
      <w:r w:rsidR="00E5212C" w:rsidRPr="007816F3">
        <w:rPr>
          <w:rFonts w:ascii="Arial" w:hAnsi="Arial" w:cs="Arial"/>
        </w:rPr>
        <w:t xml:space="preserve"> </w:t>
      </w:r>
      <w:r w:rsidRPr="007816F3">
        <w:rPr>
          <w:rFonts w:ascii="Arial" w:hAnsi="Arial" w:cs="Arial"/>
        </w:rPr>
        <w:t>Para los vehículos nuevos facturados del 1 de diciembre de 2024 y hasta el 1 de diciembre de 2025, quedará exceptuados del pago del Impuesto sobre Tenencia 2024 y 2025, siempre y cuando realicen su incorporación al Registro Vehicular Estatal, dentro de los 45 días posteriores a la fecha de la emisión de la factura, por lo que pagarán los siguientes conceptos:</w:t>
      </w:r>
    </w:p>
    <w:p w14:paraId="026007D8" w14:textId="77777777" w:rsidR="00780D0F" w:rsidRPr="007816F3" w:rsidRDefault="00780D0F" w:rsidP="004215F5">
      <w:pPr>
        <w:jc w:val="both"/>
        <w:rPr>
          <w:rFonts w:ascii="Arial" w:hAnsi="Arial" w:cs="Arial"/>
        </w:rPr>
      </w:pPr>
    </w:p>
    <w:p w14:paraId="39199C45" w14:textId="58444CAA" w:rsidR="00780D0F" w:rsidRPr="007816F3" w:rsidRDefault="00780D0F" w:rsidP="004215F5">
      <w:pPr>
        <w:jc w:val="both"/>
        <w:rPr>
          <w:rFonts w:ascii="Arial" w:hAnsi="Arial" w:cs="Arial"/>
        </w:rPr>
      </w:pPr>
      <w:r w:rsidRPr="007816F3">
        <w:rPr>
          <w:rFonts w:ascii="Arial" w:hAnsi="Arial" w:cs="Arial"/>
          <w:b/>
          <w:bCs/>
        </w:rPr>
        <w:t>a)</w:t>
      </w:r>
      <w:r w:rsidR="00E5212C" w:rsidRPr="007816F3">
        <w:rPr>
          <w:rFonts w:ascii="Arial" w:hAnsi="Arial" w:cs="Arial"/>
        </w:rPr>
        <w:t xml:space="preserve"> </w:t>
      </w:r>
      <w:r w:rsidRPr="007816F3">
        <w:rPr>
          <w:rFonts w:ascii="Arial" w:hAnsi="Arial" w:cs="Arial"/>
        </w:rPr>
        <w:t>Respecto a vehículos de transporte privado:</w:t>
      </w:r>
    </w:p>
    <w:p w14:paraId="268CE2C1" w14:textId="77777777" w:rsidR="00780D0F" w:rsidRPr="007816F3" w:rsidRDefault="00780D0F" w:rsidP="004215F5">
      <w:pPr>
        <w:jc w:val="both"/>
        <w:rPr>
          <w:rFonts w:ascii="Arial" w:hAnsi="Arial" w:cs="Arial"/>
        </w:rPr>
      </w:pPr>
    </w:p>
    <w:p w14:paraId="05E3CEDF" w14:textId="33EF93C7"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 xml:space="preserve">Por Incorporación al Registro Vehicular Estatal, 10.4 </w:t>
      </w:r>
      <w:proofErr w:type="spellStart"/>
      <w:r w:rsidRPr="007816F3">
        <w:rPr>
          <w:rFonts w:ascii="Arial" w:hAnsi="Arial" w:cs="Arial"/>
        </w:rPr>
        <w:t>UMAS</w:t>
      </w:r>
      <w:proofErr w:type="spellEnd"/>
      <w:r w:rsidRPr="007816F3">
        <w:rPr>
          <w:rFonts w:ascii="Arial" w:hAnsi="Arial" w:cs="Arial"/>
        </w:rPr>
        <w:t xml:space="preserve">, de acuerdo con lo previsto en el artículo 33 fracción I, inciso a) numeral 1 de la Ley Estatal de Derechos; y  </w:t>
      </w:r>
    </w:p>
    <w:p w14:paraId="0F8402CD" w14:textId="77777777" w:rsidR="00780D0F" w:rsidRPr="007816F3" w:rsidRDefault="00780D0F" w:rsidP="004215F5">
      <w:pPr>
        <w:jc w:val="both"/>
        <w:rPr>
          <w:rFonts w:ascii="Arial" w:hAnsi="Arial" w:cs="Arial"/>
        </w:rPr>
      </w:pPr>
    </w:p>
    <w:p w14:paraId="566C3861" w14:textId="22A1F230"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 xml:space="preserve">Por la actualización de datos al Registro Vehicular Estatal </w:t>
      </w:r>
      <w:proofErr w:type="gramStart"/>
      <w:r w:rsidRPr="007816F3">
        <w:rPr>
          <w:rFonts w:ascii="Arial" w:hAnsi="Arial" w:cs="Arial"/>
        </w:rPr>
        <w:t>que</w:t>
      </w:r>
      <w:proofErr w:type="gramEnd"/>
      <w:r w:rsidRPr="007816F3">
        <w:rPr>
          <w:rFonts w:ascii="Arial" w:hAnsi="Arial" w:cs="Arial"/>
        </w:rPr>
        <w:t xml:space="preserve"> de origen al canje de placas metálicas, 10.4 </w:t>
      </w:r>
      <w:proofErr w:type="spellStart"/>
      <w:r w:rsidRPr="007816F3">
        <w:rPr>
          <w:rFonts w:ascii="Arial" w:hAnsi="Arial" w:cs="Arial"/>
        </w:rPr>
        <w:t>UMAS</w:t>
      </w:r>
      <w:proofErr w:type="spellEnd"/>
      <w:r w:rsidRPr="007816F3">
        <w:rPr>
          <w:rFonts w:ascii="Arial" w:hAnsi="Arial" w:cs="Arial"/>
        </w:rPr>
        <w:t>, de acuerdo con lo señalado en el artículo 33 fracción I, inciso a) numeral 2 de la Ley Estatal de Derechos.</w:t>
      </w:r>
    </w:p>
    <w:p w14:paraId="0FB980C6" w14:textId="39905971" w:rsidR="00780D0F" w:rsidRPr="007816F3" w:rsidRDefault="00780D0F" w:rsidP="004215F5">
      <w:pPr>
        <w:jc w:val="both"/>
        <w:rPr>
          <w:rFonts w:ascii="Arial" w:hAnsi="Arial" w:cs="Arial"/>
        </w:rPr>
      </w:pPr>
      <w:r w:rsidRPr="007816F3">
        <w:rPr>
          <w:rFonts w:ascii="Arial" w:hAnsi="Arial" w:cs="Arial"/>
          <w:b/>
          <w:bCs/>
        </w:rPr>
        <w:t>b)</w:t>
      </w:r>
      <w:r w:rsidR="00E5212C" w:rsidRPr="007816F3">
        <w:rPr>
          <w:rFonts w:ascii="Arial" w:hAnsi="Arial" w:cs="Arial"/>
        </w:rPr>
        <w:t xml:space="preserve"> </w:t>
      </w:r>
      <w:r w:rsidRPr="007816F3">
        <w:rPr>
          <w:rFonts w:ascii="Arial" w:hAnsi="Arial" w:cs="Arial"/>
        </w:rPr>
        <w:t>Respecto de vehículos destinados al transporte público:</w:t>
      </w:r>
    </w:p>
    <w:p w14:paraId="5A8DE33A" w14:textId="77777777" w:rsidR="00780D0F" w:rsidRPr="007816F3" w:rsidRDefault="00780D0F" w:rsidP="004215F5">
      <w:pPr>
        <w:jc w:val="both"/>
        <w:rPr>
          <w:rFonts w:ascii="Arial" w:hAnsi="Arial" w:cs="Arial"/>
        </w:rPr>
      </w:pPr>
    </w:p>
    <w:p w14:paraId="105303DC" w14:textId="089F4954" w:rsidR="00780D0F" w:rsidRPr="007816F3" w:rsidRDefault="00780D0F" w:rsidP="004215F5">
      <w:pPr>
        <w:jc w:val="both"/>
        <w:rPr>
          <w:rFonts w:ascii="Arial" w:hAnsi="Arial" w:cs="Arial"/>
        </w:rPr>
      </w:pPr>
      <w:r w:rsidRPr="007816F3">
        <w:rPr>
          <w:rFonts w:ascii="Arial" w:hAnsi="Arial" w:cs="Arial"/>
          <w:b/>
          <w:bCs/>
        </w:rPr>
        <w:t>•</w:t>
      </w:r>
      <w:r w:rsidR="00E5212C" w:rsidRPr="007816F3">
        <w:rPr>
          <w:rFonts w:ascii="Arial" w:hAnsi="Arial" w:cs="Arial"/>
          <w:b/>
          <w:bCs/>
        </w:rPr>
        <w:t xml:space="preserve"> </w:t>
      </w:r>
      <w:r w:rsidRPr="007816F3">
        <w:rPr>
          <w:rFonts w:ascii="Arial" w:hAnsi="Arial" w:cs="Arial"/>
        </w:rPr>
        <w:t xml:space="preserve">Por Incorporación al Registro Vehicular Estatal, 13 </w:t>
      </w:r>
      <w:proofErr w:type="spellStart"/>
      <w:r w:rsidRPr="007816F3">
        <w:rPr>
          <w:rFonts w:ascii="Arial" w:hAnsi="Arial" w:cs="Arial"/>
        </w:rPr>
        <w:t>UMAS</w:t>
      </w:r>
      <w:proofErr w:type="spellEnd"/>
      <w:r w:rsidRPr="007816F3">
        <w:rPr>
          <w:rFonts w:ascii="Arial" w:hAnsi="Arial" w:cs="Arial"/>
        </w:rPr>
        <w:t xml:space="preserve">, de acuerdo con lo previsto en el artículo 33 fracción I, inciso d) numeral 1 de la Ley Estatal de Derechos; y  </w:t>
      </w:r>
    </w:p>
    <w:p w14:paraId="5BC7D5F4" w14:textId="77777777" w:rsidR="00780D0F" w:rsidRPr="007816F3" w:rsidRDefault="00780D0F" w:rsidP="004215F5">
      <w:pPr>
        <w:jc w:val="both"/>
        <w:rPr>
          <w:rFonts w:ascii="Arial" w:hAnsi="Arial" w:cs="Arial"/>
        </w:rPr>
      </w:pPr>
    </w:p>
    <w:p w14:paraId="1C67D2FA" w14:textId="07B808C3" w:rsidR="00780D0F" w:rsidRPr="007816F3" w:rsidRDefault="00780D0F" w:rsidP="004215F5">
      <w:pPr>
        <w:jc w:val="both"/>
        <w:rPr>
          <w:rFonts w:ascii="Arial" w:hAnsi="Arial" w:cs="Arial"/>
        </w:rPr>
      </w:pPr>
      <w:r w:rsidRPr="007816F3">
        <w:rPr>
          <w:rFonts w:ascii="Arial" w:hAnsi="Arial" w:cs="Arial"/>
          <w:b/>
          <w:bCs/>
        </w:rPr>
        <w:t>•</w:t>
      </w:r>
      <w:r w:rsidR="00E5212C" w:rsidRPr="007816F3">
        <w:rPr>
          <w:rFonts w:ascii="Arial" w:hAnsi="Arial" w:cs="Arial"/>
        </w:rPr>
        <w:t xml:space="preserve"> </w:t>
      </w:r>
      <w:r w:rsidRPr="007816F3">
        <w:rPr>
          <w:rFonts w:ascii="Arial" w:hAnsi="Arial" w:cs="Arial"/>
        </w:rPr>
        <w:t xml:space="preserve">Por la actualización de datos al Registro Vehicular Estatal </w:t>
      </w:r>
      <w:proofErr w:type="gramStart"/>
      <w:r w:rsidRPr="007816F3">
        <w:rPr>
          <w:rFonts w:ascii="Arial" w:hAnsi="Arial" w:cs="Arial"/>
        </w:rPr>
        <w:t>que</w:t>
      </w:r>
      <w:proofErr w:type="gramEnd"/>
      <w:r w:rsidRPr="007816F3">
        <w:rPr>
          <w:rFonts w:ascii="Arial" w:hAnsi="Arial" w:cs="Arial"/>
        </w:rPr>
        <w:t xml:space="preserve"> de origen al canje de placas metálicas, 13 </w:t>
      </w:r>
      <w:proofErr w:type="spellStart"/>
      <w:r w:rsidRPr="007816F3">
        <w:rPr>
          <w:rFonts w:ascii="Arial" w:hAnsi="Arial" w:cs="Arial"/>
        </w:rPr>
        <w:t>UMAS</w:t>
      </w:r>
      <w:proofErr w:type="spellEnd"/>
      <w:r w:rsidRPr="007816F3">
        <w:rPr>
          <w:rFonts w:ascii="Arial" w:hAnsi="Arial" w:cs="Arial"/>
        </w:rPr>
        <w:t>, de acuerdo con lo señalado en el artículo 33 fracción I, inciso d) numeral 2 de la Ley Estatal de Derechos.</w:t>
      </w:r>
    </w:p>
    <w:p w14:paraId="5615726C" w14:textId="77777777" w:rsidR="00780D0F" w:rsidRPr="007816F3" w:rsidRDefault="00780D0F" w:rsidP="004215F5">
      <w:pPr>
        <w:jc w:val="both"/>
        <w:rPr>
          <w:rFonts w:ascii="Arial" w:hAnsi="Arial" w:cs="Arial"/>
        </w:rPr>
      </w:pPr>
    </w:p>
    <w:p w14:paraId="0FD37C85" w14:textId="177CFC34" w:rsidR="00780D0F" w:rsidRPr="007816F3" w:rsidRDefault="00780D0F" w:rsidP="004215F5">
      <w:pPr>
        <w:jc w:val="both"/>
        <w:rPr>
          <w:rFonts w:ascii="Arial" w:hAnsi="Arial" w:cs="Arial"/>
        </w:rPr>
      </w:pPr>
      <w:r w:rsidRPr="007816F3">
        <w:rPr>
          <w:rFonts w:ascii="Arial" w:hAnsi="Arial" w:cs="Arial"/>
          <w:b/>
          <w:bCs/>
        </w:rPr>
        <w:t>c)</w:t>
      </w:r>
      <w:r w:rsidR="00E5212C" w:rsidRPr="007816F3">
        <w:rPr>
          <w:rFonts w:ascii="Arial" w:hAnsi="Arial" w:cs="Arial"/>
        </w:rPr>
        <w:t xml:space="preserve"> </w:t>
      </w:r>
      <w:r w:rsidRPr="007816F3">
        <w:rPr>
          <w:rFonts w:ascii="Arial" w:hAnsi="Arial" w:cs="Arial"/>
        </w:rPr>
        <w:t>Respecto de vehículos destinados al transporte de personas con discapacidad:</w:t>
      </w:r>
    </w:p>
    <w:p w14:paraId="3F5CA148" w14:textId="77777777" w:rsidR="00780D0F" w:rsidRPr="007816F3" w:rsidRDefault="00780D0F" w:rsidP="004215F5">
      <w:pPr>
        <w:jc w:val="both"/>
        <w:rPr>
          <w:rFonts w:ascii="Arial" w:hAnsi="Arial" w:cs="Arial"/>
        </w:rPr>
      </w:pPr>
    </w:p>
    <w:p w14:paraId="5FA40C04" w14:textId="3AB02451"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 xml:space="preserve">Por Incorporación al Registro Vehicular Estatal, 5.2 </w:t>
      </w:r>
      <w:proofErr w:type="spellStart"/>
      <w:r w:rsidRPr="007816F3">
        <w:rPr>
          <w:rFonts w:ascii="Arial" w:hAnsi="Arial" w:cs="Arial"/>
        </w:rPr>
        <w:t>UMAS</w:t>
      </w:r>
      <w:proofErr w:type="spellEnd"/>
      <w:r w:rsidRPr="007816F3">
        <w:rPr>
          <w:rFonts w:ascii="Arial" w:hAnsi="Arial" w:cs="Arial"/>
        </w:rPr>
        <w:t xml:space="preserve">, de acuerdo con lo previsto en el artículo 33 fracción I, inciso c) numeral 1 de la Ley Estatal de Derechos; y  </w:t>
      </w:r>
    </w:p>
    <w:p w14:paraId="336DCC85" w14:textId="77777777" w:rsidR="00780D0F" w:rsidRPr="007816F3" w:rsidRDefault="00780D0F" w:rsidP="004215F5">
      <w:pPr>
        <w:jc w:val="both"/>
        <w:rPr>
          <w:rFonts w:ascii="Arial" w:hAnsi="Arial" w:cs="Arial"/>
        </w:rPr>
      </w:pPr>
    </w:p>
    <w:p w14:paraId="164BE6B5" w14:textId="22A7BA3E"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 xml:space="preserve">Por la actualización de datos al Registro Vehicular Estatal </w:t>
      </w:r>
      <w:proofErr w:type="gramStart"/>
      <w:r w:rsidRPr="007816F3">
        <w:rPr>
          <w:rFonts w:ascii="Arial" w:hAnsi="Arial" w:cs="Arial"/>
        </w:rPr>
        <w:t>que</w:t>
      </w:r>
      <w:proofErr w:type="gramEnd"/>
      <w:r w:rsidRPr="007816F3">
        <w:rPr>
          <w:rFonts w:ascii="Arial" w:hAnsi="Arial" w:cs="Arial"/>
        </w:rPr>
        <w:t xml:space="preserve"> de origen al canje de placas metálicas, 5.2 </w:t>
      </w:r>
      <w:proofErr w:type="spellStart"/>
      <w:r w:rsidRPr="007816F3">
        <w:rPr>
          <w:rFonts w:ascii="Arial" w:hAnsi="Arial" w:cs="Arial"/>
        </w:rPr>
        <w:t>UMAS</w:t>
      </w:r>
      <w:proofErr w:type="spellEnd"/>
      <w:r w:rsidRPr="007816F3">
        <w:rPr>
          <w:rFonts w:ascii="Arial" w:hAnsi="Arial" w:cs="Arial"/>
        </w:rPr>
        <w:t>, de acuerdo con lo señalado en el artículo 33 fracción I, inciso c) numeral 2 de la Ley Estatal de Derechos.</w:t>
      </w:r>
    </w:p>
    <w:p w14:paraId="78DE5FCE" w14:textId="77777777" w:rsidR="00780D0F" w:rsidRPr="007816F3" w:rsidRDefault="00780D0F" w:rsidP="004215F5">
      <w:pPr>
        <w:jc w:val="both"/>
        <w:rPr>
          <w:rFonts w:ascii="Arial" w:hAnsi="Arial" w:cs="Arial"/>
        </w:rPr>
      </w:pPr>
    </w:p>
    <w:p w14:paraId="060E4891" w14:textId="05D260E6" w:rsidR="00780D0F" w:rsidRPr="007816F3" w:rsidRDefault="00780D0F" w:rsidP="004215F5">
      <w:pPr>
        <w:jc w:val="both"/>
        <w:rPr>
          <w:rFonts w:ascii="Arial" w:hAnsi="Arial" w:cs="Arial"/>
        </w:rPr>
      </w:pPr>
      <w:r w:rsidRPr="007816F3">
        <w:rPr>
          <w:rFonts w:ascii="Arial" w:hAnsi="Arial" w:cs="Arial"/>
          <w:b/>
          <w:bCs/>
        </w:rPr>
        <w:t>VIII.</w:t>
      </w:r>
      <w:r w:rsidR="00E5212C" w:rsidRPr="007816F3">
        <w:rPr>
          <w:rFonts w:ascii="Arial" w:hAnsi="Arial" w:cs="Arial"/>
        </w:rPr>
        <w:t xml:space="preserve"> </w:t>
      </w:r>
      <w:r w:rsidRPr="007816F3">
        <w:rPr>
          <w:rFonts w:ascii="Arial" w:hAnsi="Arial" w:cs="Arial"/>
        </w:rPr>
        <w:t>Para aquellos vehículos cuyos propietarios están domiciliados en el Estado de Hidalgo, que portan o hayan portado placas expedidas por otra entidad federativa o de la autoridad federal competente o sean legalizados, conforme a los Lineamientos de Operación que para tal efecto se publiquen, podrán inscribir sus vehículos en el Registro Vehicular estatal, sin que con ello tengan la obligación de pagar en el Estado de Hidalgo, las obligaciones pendientes de pago en la otra u otras entidades federativas, por lo que pagarán los siguientes conceptos:</w:t>
      </w:r>
    </w:p>
    <w:p w14:paraId="6D029759" w14:textId="77777777" w:rsidR="00780D0F" w:rsidRPr="007816F3" w:rsidRDefault="00780D0F" w:rsidP="004215F5">
      <w:pPr>
        <w:jc w:val="both"/>
        <w:rPr>
          <w:rFonts w:ascii="Arial" w:hAnsi="Arial" w:cs="Arial"/>
        </w:rPr>
      </w:pPr>
    </w:p>
    <w:p w14:paraId="177525C6" w14:textId="0099ECD2"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 xml:space="preserve">Por Incorporación al Registro Vehicular Estatal, 10.4 </w:t>
      </w:r>
      <w:proofErr w:type="spellStart"/>
      <w:r w:rsidRPr="007816F3">
        <w:rPr>
          <w:rFonts w:ascii="Arial" w:hAnsi="Arial" w:cs="Arial"/>
        </w:rPr>
        <w:t>UMAS</w:t>
      </w:r>
      <w:proofErr w:type="spellEnd"/>
      <w:r w:rsidRPr="007816F3">
        <w:rPr>
          <w:rFonts w:ascii="Arial" w:hAnsi="Arial" w:cs="Arial"/>
        </w:rPr>
        <w:t xml:space="preserve">, de acuerdo con lo previsto en el artículo 33 fracción I, inciso a) numeral 1 de la Ley Estatal de Derechos; </w:t>
      </w:r>
    </w:p>
    <w:p w14:paraId="0436DAE6" w14:textId="77777777" w:rsidR="00780D0F" w:rsidRPr="007816F3" w:rsidRDefault="00780D0F" w:rsidP="004215F5">
      <w:pPr>
        <w:jc w:val="both"/>
        <w:rPr>
          <w:rFonts w:ascii="Arial" w:hAnsi="Arial" w:cs="Arial"/>
        </w:rPr>
      </w:pPr>
    </w:p>
    <w:p w14:paraId="47786559" w14:textId="392C9630"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 xml:space="preserve">Por la actualización de datos al Registro Vehicular Estatal </w:t>
      </w:r>
      <w:proofErr w:type="gramStart"/>
      <w:r w:rsidRPr="007816F3">
        <w:rPr>
          <w:rFonts w:ascii="Arial" w:hAnsi="Arial" w:cs="Arial"/>
        </w:rPr>
        <w:t>que</w:t>
      </w:r>
      <w:proofErr w:type="gramEnd"/>
      <w:r w:rsidRPr="007816F3">
        <w:rPr>
          <w:rFonts w:ascii="Arial" w:hAnsi="Arial" w:cs="Arial"/>
        </w:rPr>
        <w:t xml:space="preserve"> de origen al canje de placas metálicas, 10.4 </w:t>
      </w:r>
      <w:proofErr w:type="spellStart"/>
      <w:r w:rsidRPr="007816F3">
        <w:rPr>
          <w:rFonts w:ascii="Arial" w:hAnsi="Arial" w:cs="Arial"/>
        </w:rPr>
        <w:t>UMAS</w:t>
      </w:r>
      <w:proofErr w:type="spellEnd"/>
      <w:r w:rsidRPr="007816F3">
        <w:rPr>
          <w:rFonts w:ascii="Arial" w:hAnsi="Arial" w:cs="Arial"/>
        </w:rPr>
        <w:t>, de acuerdo con lo señalado en el artículo 33 fracción I, inciso a) numeral 2 de la Ley Estatal de Derechos;</w:t>
      </w:r>
    </w:p>
    <w:p w14:paraId="70D4DF38" w14:textId="77777777" w:rsidR="00780D0F" w:rsidRPr="007816F3" w:rsidRDefault="00780D0F" w:rsidP="004215F5">
      <w:pPr>
        <w:jc w:val="both"/>
        <w:rPr>
          <w:rFonts w:ascii="Arial" w:hAnsi="Arial" w:cs="Arial"/>
        </w:rPr>
      </w:pPr>
    </w:p>
    <w:p w14:paraId="31846A05" w14:textId="213BE78A" w:rsidR="00780D0F" w:rsidRPr="007816F3" w:rsidRDefault="00780D0F" w:rsidP="004215F5">
      <w:pPr>
        <w:jc w:val="both"/>
        <w:rPr>
          <w:rFonts w:ascii="Arial" w:hAnsi="Arial" w:cs="Arial"/>
        </w:rPr>
      </w:pPr>
      <w:r w:rsidRPr="007816F3">
        <w:rPr>
          <w:rFonts w:ascii="Arial" w:hAnsi="Arial" w:cs="Arial"/>
        </w:rPr>
        <w:t>•</w:t>
      </w:r>
      <w:r w:rsidR="00E5212C" w:rsidRPr="007816F3">
        <w:rPr>
          <w:rFonts w:ascii="Arial" w:hAnsi="Arial" w:cs="Arial"/>
        </w:rPr>
        <w:t xml:space="preserve"> </w:t>
      </w:r>
      <w:r w:rsidRPr="007816F3">
        <w:rPr>
          <w:rFonts w:ascii="Arial" w:hAnsi="Arial" w:cs="Arial"/>
        </w:rPr>
        <w:t>Lo correspondiente al Impuesto Sobre Tenencia o uso de Vehículos del ejercicio fiscal 2025, de conformidad con lo señalado en la Ley de Hacienda del Estado de Hidalgo; y</w:t>
      </w:r>
    </w:p>
    <w:p w14:paraId="3FE41344" w14:textId="77777777" w:rsidR="00780D0F" w:rsidRPr="007816F3" w:rsidRDefault="00780D0F" w:rsidP="004215F5">
      <w:pPr>
        <w:jc w:val="both"/>
        <w:rPr>
          <w:rFonts w:ascii="Arial" w:hAnsi="Arial" w:cs="Arial"/>
        </w:rPr>
      </w:pPr>
    </w:p>
    <w:p w14:paraId="2BC3DC30" w14:textId="77777777" w:rsidR="00780D0F" w:rsidRPr="007816F3" w:rsidRDefault="00780D0F" w:rsidP="004215F5">
      <w:pPr>
        <w:jc w:val="both"/>
        <w:rPr>
          <w:rFonts w:ascii="Arial" w:hAnsi="Arial" w:cs="Arial"/>
        </w:rPr>
      </w:pPr>
      <w:r w:rsidRPr="007816F3">
        <w:rPr>
          <w:rFonts w:ascii="Arial" w:hAnsi="Arial" w:cs="Arial"/>
        </w:rPr>
        <w:t>Adicional a los estímulos fiscales señalados anteriormente, se otorgan los siguientes beneficios:</w:t>
      </w:r>
    </w:p>
    <w:p w14:paraId="13E2F807" w14:textId="77777777" w:rsidR="00780D0F" w:rsidRPr="007816F3" w:rsidRDefault="00780D0F" w:rsidP="004215F5">
      <w:pPr>
        <w:jc w:val="both"/>
        <w:rPr>
          <w:rFonts w:ascii="Arial" w:hAnsi="Arial" w:cs="Arial"/>
        </w:rPr>
      </w:pPr>
    </w:p>
    <w:p w14:paraId="0551EF2D" w14:textId="165D416A" w:rsidR="00780D0F" w:rsidRPr="007816F3" w:rsidRDefault="00780D0F" w:rsidP="004215F5">
      <w:pPr>
        <w:jc w:val="both"/>
        <w:rPr>
          <w:rFonts w:ascii="Arial" w:hAnsi="Arial" w:cs="Arial"/>
        </w:rPr>
      </w:pPr>
      <w:r w:rsidRPr="007816F3">
        <w:rPr>
          <w:rFonts w:ascii="Arial" w:hAnsi="Arial" w:cs="Arial"/>
          <w:b/>
          <w:bCs/>
        </w:rPr>
        <w:t>a)</w:t>
      </w:r>
      <w:r w:rsidR="00E5212C" w:rsidRPr="007816F3">
        <w:rPr>
          <w:rFonts w:ascii="Arial" w:hAnsi="Arial" w:cs="Arial"/>
        </w:rPr>
        <w:t xml:space="preserve"> </w:t>
      </w:r>
      <w:r w:rsidRPr="007816F3">
        <w:rPr>
          <w:rFonts w:ascii="Arial" w:hAnsi="Arial" w:cs="Arial"/>
        </w:rPr>
        <w:t>Cupón de 10% de descuento en el consumo de agua. Para las personas físicas, propietarios de vehículos que realicen el pago de Refrendo de Datos al Registro Vehicular Estatal y/o Incorporación al Registro Vehicular Estatal, durante la vigencia del Programa, en los Municipios en que el servicio de agua es regulado por la Comisión de Agua y Alcantarillado de Sistemas Intermunicipales (</w:t>
      </w:r>
      <w:proofErr w:type="spellStart"/>
      <w:r w:rsidRPr="007816F3">
        <w:rPr>
          <w:rFonts w:ascii="Arial" w:hAnsi="Arial" w:cs="Arial"/>
        </w:rPr>
        <w:t>CAASIM</w:t>
      </w:r>
      <w:proofErr w:type="spellEnd"/>
      <w:r w:rsidRPr="007816F3">
        <w:rPr>
          <w:rFonts w:ascii="Arial" w:hAnsi="Arial" w:cs="Arial"/>
        </w:rPr>
        <w:t>), siempre y cuando tenga cero pagos vencidos lo podrán aplicar en los siguientes conceptos a elegir:</w:t>
      </w:r>
    </w:p>
    <w:p w14:paraId="33514187" w14:textId="77777777" w:rsidR="00780D0F" w:rsidRPr="007816F3" w:rsidRDefault="00780D0F" w:rsidP="004215F5">
      <w:pPr>
        <w:jc w:val="both"/>
        <w:rPr>
          <w:rFonts w:ascii="Arial" w:hAnsi="Arial" w:cs="Arial"/>
        </w:rPr>
      </w:pPr>
    </w:p>
    <w:p w14:paraId="4F4BAA04" w14:textId="7759E9D1" w:rsidR="00780D0F" w:rsidRPr="007816F3" w:rsidRDefault="00780D0F" w:rsidP="004215F5">
      <w:pPr>
        <w:jc w:val="both"/>
        <w:rPr>
          <w:rFonts w:ascii="Arial" w:hAnsi="Arial" w:cs="Arial"/>
        </w:rPr>
      </w:pPr>
      <w:r w:rsidRPr="007816F3">
        <w:rPr>
          <w:rFonts w:ascii="Arial" w:hAnsi="Arial" w:cs="Arial"/>
          <w:b/>
          <w:bCs/>
        </w:rPr>
        <w:t>1.</w:t>
      </w:r>
      <w:r w:rsidR="00E5212C" w:rsidRPr="007816F3">
        <w:rPr>
          <w:rFonts w:ascii="Arial" w:hAnsi="Arial" w:cs="Arial"/>
        </w:rPr>
        <w:t xml:space="preserve"> </w:t>
      </w:r>
      <w:r w:rsidRPr="007816F3">
        <w:rPr>
          <w:rFonts w:ascii="Arial" w:hAnsi="Arial" w:cs="Arial"/>
        </w:rPr>
        <w:t>Pago anticipado a cuenta del consumo anual de la tarifa doméstica, que se solicite durante el periodo establecido; y</w:t>
      </w:r>
    </w:p>
    <w:p w14:paraId="24C62A5B" w14:textId="77777777" w:rsidR="00780D0F" w:rsidRPr="007816F3" w:rsidRDefault="00780D0F" w:rsidP="004215F5">
      <w:pPr>
        <w:jc w:val="both"/>
        <w:rPr>
          <w:rFonts w:ascii="Arial" w:hAnsi="Arial" w:cs="Arial"/>
        </w:rPr>
      </w:pPr>
    </w:p>
    <w:p w14:paraId="6153A2CC" w14:textId="3CB39CD2" w:rsidR="00780D0F" w:rsidRPr="007816F3" w:rsidRDefault="00780D0F" w:rsidP="004215F5">
      <w:pPr>
        <w:jc w:val="both"/>
        <w:rPr>
          <w:rFonts w:ascii="Arial" w:hAnsi="Arial" w:cs="Arial"/>
        </w:rPr>
      </w:pPr>
      <w:r w:rsidRPr="007816F3">
        <w:rPr>
          <w:rFonts w:ascii="Arial" w:hAnsi="Arial" w:cs="Arial"/>
          <w:b/>
          <w:bCs/>
        </w:rPr>
        <w:t>2.</w:t>
      </w:r>
      <w:r w:rsidR="00E5212C" w:rsidRPr="007816F3">
        <w:rPr>
          <w:rFonts w:ascii="Arial" w:hAnsi="Arial" w:cs="Arial"/>
        </w:rPr>
        <w:t xml:space="preserve"> </w:t>
      </w:r>
      <w:r w:rsidRPr="007816F3">
        <w:rPr>
          <w:rFonts w:ascii="Arial" w:hAnsi="Arial" w:cs="Arial"/>
        </w:rPr>
        <w:t>Pago mensual, de la tarifa doméstica, durante el periodo establecido.</w:t>
      </w:r>
    </w:p>
    <w:p w14:paraId="60995FB9" w14:textId="77777777" w:rsidR="00780D0F" w:rsidRPr="007816F3" w:rsidRDefault="00780D0F" w:rsidP="004215F5">
      <w:pPr>
        <w:jc w:val="both"/>
        <w:rPr>
          <w:rFonts w:ascii="Arial" w:hAnsi="Arial" w:cs="Arial"/>
        </w:rPr>
      </w:pPr>
    </w:p>
    <w:p w14:paraId="76FA2075" w14:textId="77777777" w:rsidR="00780D0F" w:rsidRPr="007816F3" w:rsidRDefault="00780D0F" w:rsidP="004215F5">
      <w:pPr>
        <w:jc w:val="both"/>
        <w:rPr>
          <w:rFonts w:ascii="Arial" w:hAnsi="Arial" w:cs="Arial"/>
        </w:rPr>
      </w:pPr>
      <w:r w:rsidRPr="007816F3">
        <w:rPr>
          <w:rFonts w:ascii="Arial" w:hAnsi="Arial" w:cs="Arial"/>
        </w:rPr>
        <w:t>Sólo aplicará un cupón por cuenta de consumo y quedan excluidos del beneficio, aquellos usuarios que en su recibo de pago tengan conceptos adicionales a los del consumo de agua, alcantarillado, saneamiento, garantía de medidor e Impuesto al Valor Agregado, proporcional a cada uno de los conceptos.</w:t>
      </w:r>
    </w:p>
    <w:p w14:paraId="74BC2A0D" w14:textId="77777777" w:rsidR="00780D0F" w:rsidRPr="007816F3" w:rsidRDefault="00780D0F" w:rsidP="004215F5">
      <w:pPr>
        <w:jc w:val="both"/>
        <w:rPr>
          <w:rFonts w:ascii="Arial" w:hAnsi="Arial" w:cs="Arial"/>
        </w:rPr>
      </w:pPr>
    </w:p>
    <w:p w14:paraId="71A6372C" w14:textId="36ED79A0" w:rsidR="00780D0F" w:rsidRPr="007816F3" w:rsidRDefault="00780D0F" w:rsidP="004215F5">
      <w:pPr>
        <w:jc w:val="both"/>
        <w:rPr>
          <w:rFonts w:ascii="Arial" w:hAnsi="Arial" w:cs="Arial"/>
        </w:rPr>
      </w:pPr>
      <w:r w:rsidRPr="007816F3">
        <w:rPr>
          <w:rFonts w:ascii="Arial" w:hAnsi="Arial" w:cs="Arial"/>
          <w:b/>
          <w:bCs/>
        </w:rPr>
        <w:t>b)</w:t>
      </w:r>
      <w:r w:rsidR="00E5212C" w:rsidRPr="007816F3">
        <w:rPr>
          <w:rFonts w:ascii="Arial" w:hAnsi="Arial" w:cs="Arial"/>
        </w:rPr>
        <w:t xml:space="preserve"> </w:t>
      </w:r>
      <w:r w:rsidRPr="007816F3">
        <w:rPr>
          <w:rFonts w:ascii="Arial" w:hAnsi="Arial" w:cs="Arial"/>
        </w:rPr>
        <w:t>Cupón de 10% de descuento en la expedición o renovación de la Licencia de Conducir. Para los propietarios de vehículos que realicen el pago de Refrendo de Datos al Registro Vehicular Estatal y/o Incorporación al Registro Vehicular Estatal, durante la vigencia del Programa, en la expedición o renovación de Licencia de Conducir, durante el mismo periodo.</w:t>
      </w:r>
    </w:p>
    <w:p w14:paraId="109F75F8" w14:textId="77777777" w:rsidR="00780D0F" w:rsidRPr="007816F3" w:rsidRDefault="00780D0F" w:rsidP="004215F5">
      <w:pPr>
        <w:jc w:val="both"/>
        <w:rPr>
          <w:rFonts w:ascii="Arial" w:hAnsi="Arial" w:cs="Arial"/>
        </w:rPr>
      </w:pPr>
    </w:p>
    <w:p w14:paraId="507D5C9F" w14:textId="26C4D364" w:rsidR="00780D0F" w:rsidRPr="007816F3" w:rsidRDefault="00780D0F" w:rsidP="004215F5">
      <w:pPr>
        <w:jc w:val="both"/>
        <w:rPr>
          <w:rFonts w:ascii="Arial" w:hAnsi="Arial" w:cs="Arial"/>
        </w:rPr>
      </w:pPr>
      <w:r w:rsidRPr="007816F3">
        <w:rPr>
          <w:rFonts w:ascii="Arial" w:hAnsi="Arial" w:cs="Arial"/>
          <w:b/>
          <w:bCs/>
        </w:rPr>
        <w:t>c)</w:t>
      </w:r>
      <w:r w:rsidR="00E5212C" w:rsidRPr="007816F3">
        <w:rPr>
          <w:rFonts w:ascii="Arial" w:hAnsi="Arial" w:cs="Arial"/>
        </w:rPr>
        <w:t xml:space="preserve"> </w:t>
      </w:r>
      <w:r w:rsidRPr="007816F3">
        <w:rPr>
          <w:rFonts w:ascii="Arial" w:hAnsi="Arial" w:cs="Arial"/>
        </w:rPr>
        <w:t>Cupón de 10% de descuento en la expedición de copia certificada de Acta de Nacimiento, siempre y cuando sea tramitada en las oficinas de la Dirección General del Registro del Estado Familiar o en los Centros Regionales de Hacienda o en las Unidades de Servicios Estatales.</w:t>
      </w:r>
    </w:p>
    <w:p w14:paraId="74571C12" w14:textId="77777777" w:rsidR="00780D0F" w:rsidRPr="007816F3" w:rsidRDefault="00780D0F" w:rsidP="004215F5">
      <w:pPr>
        <w:jc w:val="both"/>
        <w:rPr>
          <w:rFonts w:ascii="Arial" w:hAnsi="Arial" w:cs="Arial"/>
        </w:rPr>
      </w:pPr>
    </w:p>
    <w:p w14:paraId="4CDCD659" w14:textId="77777777" w:rsidR="00780D0F" w:rsidRPr="007816F3" w:rsidRDefault="00780D0F" w:rsidP="004215F5">
      <w:pPr>
        <w:jc w:val="both"/>
        <w:rPr>
          <w:rFonts w:ascii="Arial" w:hAnsi="Arial" w:cs="Arial"/>
        </w:rPr>
      </w:pPr>
      <w:r w:rsidRPr="007816F3">
        <w:rPr>
          <w:rFonts w:ascii="Arial" w:hAnsi="Arial" w:cs="Arial"/>
        </w:rPr>
        <w:t>Sólo podrá aplicarse un cupón de descuento por persona, durante la vigencia de los Lineamientos de Operación del Programa “Circula Seguro”, sin que estos sean acumulables.</w:t>
      </w:r>
    </w:p>
    <w:p w14:paraId="4F17FF41" w14:textId="77777777" w:rsidR="00780D0F" w:rsidRPr="007816F3" w:rsidRDefault="00780D0F" w:rsidP="004215F5">
      <w:pPr>
        <w:jc w:val="both"/>
        <w:rPr>
          <w:rFonts w:ascii="Arial" w:hAnsi="Arial" w:cs="Arial"/>
        </w:rPr>
      </w:pPr>
    </w:p>
    <w:p w14:paraId="66A8422B" w14:textId="3EF4DDF4" w:rsidR="00780D0F" w:rsidRPr="007816F3" w:rsidRDefault="00780D0F" w:rsidP="004215F5">
      <w:pPr>
        <w:jc w:val="both"/>
        <w:rPr>
          <w:rFonts w:ascii="Arial" w:hAnsi="Arial" w:cs="Arial"/>
        </w:rPr>
      </w:pPr>
      <w:r w:rsidRPr="007816F3">
        <w:rPr>
          <w:rFonts w:ascii="Arial" w:hAnsi="Arial" w:cs="Arial"/>
          <w:b/>
          <w:bCs/>
        </w:rPr>
        <w:t>d)</w:t>
      </w:r>
      <w:r w:rsidR="00E5212C" w:rsidRPr="007816F3">
        <w:rPr>
          <w:rFonts w:ascii="Arial" w:hAnsi="Arial" w:cs="Arial"/>
        </w:rPr>
        <w:t xml:space="preserve"> </w:t>
      </w:r>
      <w:r w:rsidRPr="007816F3">
        <w:rPr>
          <w:rFonts w:ascii="Arial" w:hAnsi="Arial" w:cs="Arial"/>
        </w:rPr>
        <w:t>Una Póliza de Seguro de Responsabilidad Civil de Daños a Terceros y un Seguro de Vida, que forma parte de una póliza maestra, con los siguientes beneficios:</w:t>
      </w:r>
    </w:p>
    <w:p w14:paraId="5FFF587E" w14:textId="77777777" w:rsidR="00780D0F" w:rsidRPr="007816F3" w:rsidRDefault="00780D0F" w:rsidP="004215F5">
      <w:pPr>
        <w:jc w:val="both"/>
        <w:rPr>
          <w:rFonts w:ascii="Arial" w:hAnsi="Arial" w:cs="Arial"/>
        </w:rPr>
      </w:pPr>
    </w:p>
    <w:p w14:paraId="61F2B0B0" w14:textId="6B97F793" w:rsidR="00780D0F" w:rsidRPr="007816F3" w:rsidRDefault="00780D0F" w:rsidP="004215F5">
      <w:pPr>
        <w:jc w:val="both"/>
        <w:rPr>
          <w:rFonts w:ascii="Arial" w:hAnsi="Arial" w:cs="Arial"/>
        </w:rPr>
      </w:pPr>
      <w:r w:rsidRPr="007816F3">
        <w:rPr>
          <w:rFonts w:ascii="Arial" w:hAnsi="Arial" w:cs="Arial"/>
          <w:b/>
          <w:bCs/>
        </w:rPr>
        <w:t>1.</w:t>
      </w:r>
      <w:r w:rsidR="00E5212C" w:rsidRPr="007816F3">
        <w:rPr>
          <w:rFonts w:ascii="Arial" w:hAnsi="Arial" w:cs="Arial"/>
        </w:rPr>
        <w:t xml:space="preserve"> </w:t>
      </w:r>
      <w:r w:rsidRPr="007816F3">
        <w:rPr>
          <w:rFonts w:ascii="Arial" w:hAnsi="Arial" w:cs="Arial"/>
        </w:rPr>
        <w:t xml:space="preserve">Un monto asegurado de $150,000.00 (Ciento cincuenta mil pesos 00/100 M.N.) de daños a terceros, con un deducible de 66 </w:t>
      </w:r>
      <w:proofErr w:type="spellStart"/>
      <w:r w:rsidRPr="007816F3">
        <w:rPr>
          <w:rFonts w:ascii="Arial" w:hAnsi="Arial" w:cs="Arial"/>
        </w:rPr>
        <w:t>UMAS</w:t>
      </w:r>
      <w:proofErr w:type="spellEnd"/>
      <w:r w:rsidRPr="007816F3">
        <w:rPr>
          <w:rFonts w:ascii="Arial" w:hAnsi="Arial" w:cs="Arial"/>
        </w:rPr>
        <w:t>.</w:t>
      </w:r>
    </w:p>
    <w:p w14:paraId="367144C0" w14:textId="77777777" w:rsidR="00780D0F" w:rsidRPr="007816F3" w:rsidRDefault="00780D0F" w:rsidP="004215F5">
      <w:pPr>
        <w:jc w:val="both"/>
        <w:rPr>
          <w:rFonts w:ascii="Arial" w:hAnsi="Arial" w:cs="Arial"/>
        </w:rPr>
      </w:pPr>
    </w:p>
    <w:p w14:paraId="32675A69" w14:textId="6E4EA386" w:rsidR="00780D0F" w:rsidRPr="007816F3" w:rsidRDefault="00780D0F" w:rsidP="004215F5">
      <w:pPr>
        <w:jc w:val="both"/>
        <w:rPr>
          <w:rFonts w:ascii="Arial" w:hAnsi="Arial" w:cs="Arial"/>
        </w:rPr>
      </w:pPr>
      <w:r w:rsidRPr="007816F3">
        <w:rPr>
          <w:rFonts w:ascii="Arial" w:hAnsi="Arial" w:cs="Arial"/>
          <w:b/>
          <w:bCs/>
        </w:rPr>
        <w:t>2.</w:t>
      </w:r>
      <w:r w:rsidR="00E5212C" w:rsidRPr="007816F3">
        <w:rPr>
          <w:rFonts w:ascii="Arial" w:hAnsi="Arial" w:cs="Arial"/>
        </w:rPr>
        <w:t xml:space="preserve"> </w:t>
      </w:r>
      <w:r w:rsidRPr="007816F3">
        <w:rPr>
          <w:rFonts w:ascii="Arial" w:hAnsi="Arial" w:cs="Arial"/>
        </w:rPr>
        <w:t>Un Seguro de Vida por $50,000.00 (Cincuenta mil pesos 00/100 M.N.) para el conductor del vehículo siniestrado sin costo de deducible.</w:t>
      </w:r>
    </w:p>
    <w:p w14:paraId="355C4D7C" w14:textId="77777777" w:rsidR="00780D0F" w:rsidRPr="007816F3" w:rsidRDefault="00780D0F" w:rsidP="004215F5">
      <w:pPr>
        <w:jc w:val="both"/>
        <w:rPr>
          <w:rFonts w:ascii="Arial" w:hAnsi="Arial" w:cs="Arial"/>
        </w:rPr>
      </w:pPr>
      <w:r w:rsidRPr="007816F3">
        <w:rPr>
          <w:rFonts w:ascii="Arial" w:hAnsi="Arial" w:cs="Arial"/>
        </w:rPr>
        <w:t>Los estímulos fiscales de Control Vehicular establecidos en los párrafos que anteceden se encuentran sujetos a los Lineamientos de Operación que para tal efecto se publiquen.</w:t>
      </w:r>
    </w:p>
    <w:p w14:paraId="31155801" w14:textId="77777777" w:rsidR="00780D0F" w:rsidRPr="007816F3" w:rsidRDefault="00780D0F" w:rsidP="004215F5">
      <w:pPr>
        <w:jc w:val="both"/>
        <w:rPr>
          <w:rFonts w:ascii="Arial" w:hAnsi="Arial" w:cs="Arial"/>
        </w:rPr>
      </w:pPr>
    </w:p>
    <w:p w14:paraId="2220FE3D" w14:textId="77777777" w:rsidR="00E5212C" w:rsidRPr="007816F3" w:rsidRDefault="00E5212C" w:rsidP="004215F5">
      <w:pPr>
        <w:jc w:val="both"/>
        <w:rPr>
          <w:rFonts w:ascii="Arial" w:hAnsi="Arial" w:cs="Arial"/>
        </w:rPr>
      </w:pPr>
    </w:p>
    <w:p w14:paraId="1ADDDC8E" w14:textId="77777777" w:rsidR="00780D0F" w:rsidRPr="007816F3" w:rsidRDefault="00780D0F" w:rsidP="004215F5">
      <w:pPr>
        <w:jc w:val="center"/>
        <w:rPr>
          <w:rFonts w:ascii="Arial" w:hAnsi="Arial" w:cs="Arial"/>
          <w:b/>
          <w:bCs/>
        </w:rPr>
      </w:pPr>
      <w:r w:rsidRPr="007816F3">
        <w:rPr>
          <w:rFonts w:ascii="Arial" w:hAnsi="Arial" w:cs="Arial"/>
          <w:b/>
          <w:bCs/>
        </w:rPr>
        <w:t>SECCIÓN II</w:t>
      </w:r>
    </w:p>
    <w:p w14:paraId="4C630449" w14:textId="77777777" w:rsidR="00780D0F" w:rsidRPr="007816F3" w:rsidRDefault="00780D0F" w:rsidP="004215F5">
      <w:pPr>
        <w:jc w:val="center"/>
        <w:rPr>
          <w:rFonts w:ascii="Arial" w:hAnsi="Arial" w:cs="Arial"/>
          <w:b/>
          <w:bCs/>
        </w:rPr>
      </w:pPr>
      <w:r w:rsidRPr="007816F3">
        <w:rPr>
          <w:rFonts w:ascii="Arial" w:hAnsi="Arial" w:cs="Arial"/>
          <w:b/>
          <w:bCs/>
        </w:rPr>
        <w:t>DEL REGISTRO PÚBLICO DE LA PROPIEDAD DEL ESTADO DE HIDALGO Y/O INSTITUTO DE LA FUNCIÓN REGISTRAL</w:t>
      </w:r>
    </w:p>
    <w:p w14:paraId="0DA8300D" w14:textId="77777777" w:rsidR="00780D0F" w:rsidRPr="007816F3" w:rsidRDefault="00780D0F" w:rsidP="004215F5">
      <w:pPr>
        <w:jc w:val="both"/>
        <w:rPr>
          <w:rFonts w:ascii="Arial" w:hAnsi="Arial" w:cs="Arial"/>
        </w:rPr>
      </w:pPr>
    </w:p>
    <w:p w14:paraId="084819CC" w14:textId="77777777" w:rsidR="00780D0F" w:rsidRPr="007816F3" w:rsidRDefault="00780D0F" w:rsidP="004215F5">
      <w:pPr>
        <w:jc w:val="both"/>
        <w:rPr>
          <w:rFonts w:ascii="Arial" w:hAnsi="Arial" w:cs="Arial"/>
        </w:rPr>
      </w:pPr>
      <w:r w:rsidRPr="007816F3">
        <w:rPr>
          <w:rFonts w:ascii="Arial" w:hAnsi="Arial" w:cs="Arial"/>
          <w:b/>
          <w:bCs/>
        </w:rPr>
        <w:t>Artículo 12.</w:t>
      </w:r>
      <w:r w:rsidRPr="007816F3">
        <w:rPr>
          <w:rFonts w:ascii="Arial" w:hAnsi="Arial" w:cs="Arial"/>
        </w:rPr>
        <w:t xml:space="preserve"> Se otorgan los siguientes estímulos fiscales en el pago de Derechos, ante el Registro Público de la Propiedad del Estado de Hidalgo y/o el Instituto de la Función Registral:</w:t>
      </w:r>
    </w:p>
    <w:p w14:paraId="51126DFE" w14:textId="77777777" w:rsidR="00780D0F" w:rsidRPr="007816F3" w:rsidRDefault="00780D0F" w:rsidP="004215F5">
      <w:pPr>
        <w:jc w:val="both"/>
        <w:rPr>
          <w:rFonts w:ascii="Arial" w:hAnsi="Arial" w:cs="Arial"/>
        </w:rPr>
      </w:pPr>
    </w:p>
    <w:p w14:paraId="4B127CAB" w14:textId="7AE96FC8" w:rsidR="00780D0F" w:rsidRPr="007816F3" w:rsidRDefault="00E5212C" w:rsidP="004215F5">
      <w:pPr>
        <w:jc w:val="both"/>
        <w:rPr>
          <w:rFonts w:ascii="Arial" w:hAnsi="Arial" w:cs="Arial"/>
        </w:rPr>
      </w:pPr>
      <w:r w:rsidRPr="007816F3">
        <w:rPr>
          <w:rFonts w:ascii="Arial" w:hAnsi="Arial" w:cs="Arial"/>
          <w:b/>
          <w:bCs/>
        </w:rPr>
        <w:t xml:space="preserve">I. </w:t>
      </w:r>
      <w:r w:rsidR="00780D0F" w:rsidRPr="007816F3">
        <w:rPr>
          <w:rFonts w:ascii="Arial" w:hAnsi="Arial" w:cs="Arial"/>
        </w:rPr>
        <w:t>Los Derechos por la prestación de los servicios del Estado, generados por concepto de inscripciones o anotaciones relativas a limitaciones o gravámenes de la propiedad y posesión originaria de inmuebles, se causarán y pagarán tratándose única y exclusivamente cuando en estos se constituyan usufructo puro, temporal y/o bajo condición, y/o nuda propiedad, o actos relativos y conexos al usufructo, en favor de personas físicas, de conformidad con el artículo 9 fracción I de la Ley Estatal de Derechos, tendrán una reducción de 30 Unidades de Medida y Actualización (</w:t>
      </w:r>
      <w:proofErr w:type="spellStart"/>
      <w:r w:rsidR="00780D0F" w:rsidRPr="007816F3">
        <w:rPr>
          <w:rFonts w:ascii="Arial" w:hAnsi="Arial" w:cs="Arial"/>
        </w:rPr>
        <w:t>UMAS</w:t>
      </w:r>
      <w:proofErr w:type="spellEnd"/>
      <w:r w:rsidR="00780D0F" w:rsidRPr="007816F3">
        <w:rPr>
          <w:rFonts w:ascii="Arial" w:hAnsi="Arial" w:cs="Arial"/>
        </w:rPr>
        <w:t>), por lo que hace a la tarifa relacionada con la inscripción de estos actos;</w:t>
      </w:r>
    </w:p>
    <w:p w14:paraId="1F458C55" w14:textId="77777777" w:rsidR="00780D0F" w:rsidRPr="007816F3" w:rsidRDefault="00780D0F" w:rsidP="004215F5">
      <w:pPr>
        <w:jc w:val="both"/>
        <w:rPr>
          <w:rFonts w:ascii="Arial" w:hAnsi="Arial" w:cs="Arial"/>
        </w:rPr>
      </w:pPr>
    </w:p>
    <w:p w14:paraId="4A25550C" w14:textId="740D037A" w:rsidR="00780D0F" w:rsidRPr="007816F3" w:rsidRDefault="00E5212C" w:rsidP="004215F5">
      <w:pPr>
        <w:jc w:val="both"/>
        <w:rPr>
          <w:rFonts w:ascii="Arial" w:hAnsi="Arial" w:cs="Arial"/>
        </w:rPr>
      </w:pPr>
      <w:r w:rsidRPr="007816F3">
        <w:rPr>
          <w:rFonts w:ascii="Arial" w:hAnsi="Arial" w:cs="Arial"/>
          <w:b/>
          <w:bCs/>
        </w:rPr>
        <w:t xml:space="preserve">II. </w:t>
      </w:r>
      <w:r w:rsidR="00780D0F" w:rsidRPr="007816F3">
        <w:rPr>
          <w:rFonts w:ascii="Arial" w:hAnsi="Arial" w:cs="Arial"/>
        </w:rPr>
        <w:t>Las personas físicas y jurídicas afiliadas a la Cámara Nacional de la Industria de Desarrollo y Promoción de Vivienda, Delegación Hidalgo, tendrán una reducción de 2 Unidades de Medida y Actualización (</w:t>
      </w:r>
      <w:proofErr w:type="spellStart"/>
      <w:r w:rsidR="00780D0F" w:rsidRPr="007816F3">
        <w:rPr>
          <w:rFonts w:ascii="Arial" w:hAnsi="Arial" w:cs="Arial"/>
        </w:rPr>
        <w:t>UMAS</w:t>
      </w:r>
      <w:proofErr w:type="spellEnd"/>
      <w:r w:rsidR="00780D0F" w:rsidRPr="007816F3">
        <w:rPr>
          <w:rFonts w:ascii="Arial" w:hAnsi="Arial" w:cs="Arial"/>
        </w:rPr>
        <w:t xml:space="preserve">) por lote, respecto a la tarifa relacionada con la inscripción de actos a los que se refiere el inciso a) de la fracción IX del artículo 8 de la Ley Estatal de Derechos vigente. Lo anterior, siempre que el acto se encuentre relacionado al desarrollo de viviendas a que se refiere la fracción III del artículo 9 de la citada Ley; </w:t>
      </w:r>
    </w:p>
    <w:p w14:paraId="153C81BB" w14:textId="77777777" w:rsidR="00780D0F" w:rsidRPr="007816F3" w:rsidRDefault="00780D0F" w:rsidP="004215F5">
      <w:pPr>
        <w:jc w:val="both"/>
        <w:rPr>
          <w:rFonts w:ascii="Arial" w:hAnsi="Arial" w:cs="Arial"/>
        </w:rPr>
      </w:pPr>
    </w:p>
    <w:p w14:paraId="4D49AAA4" w14:textId="1DEC8FB7" w:rsidR="00780D0F" w:rsidRPr="007816F3" w:rsidRDefault="00E5212C" w:rsidP="004215F5">
      <w:pPr>
        <w:jc w:val="both"/>
        <w:rPr>
          <w:rFonts w:ascii="Arial" w:hAnsi="Arial" w:cs="Arial"/>
        </w:rPr>
      </w:pPr>
      <w:r w:rsidRPr="007816F3">
        <w:rPr>
          <w:rFonts w:ascii="Arial" w:hAnsi="Arial" w:cs="Arial"/>
          <w:b/>
          <w:bCs/>
        </w:rPr>
        <w:t xml:space="preserve">III. </w:t>
      </w:r>
      <w:r w:rsidR="00780D0F" w:rsidRPr="007816F3">
        <w:rPr>
          <w:rFonts w:ascii="Arial" w:hAnsi="Arial" w:cs="Arial"/>
        </w:rPr>
        <w:t>Las personas físicas y jurídicas afiliadas a la Cámara Nacional de la Industria de Desarrollo y Promoción de Vivienda, Delegación Hidalgo, tendrán la reducción de una Unidad de Medida y Actualización (</w:t>
      </w:r>
      <w:proofErr w:type="spellStart"/>
      <w:r w:rsidR="00780D0F" w:rsidRPr="007816F3">
        <w:rPr>
          <w:rFonts w:ascii="Arial" w:hAnsi="Arial" w:cs="Arial"/>
        </w:rPr>
        <w:t>UMAS</w:t>
      </w:r>
      <w:proofErr w:type="spellEnd"/>
      <w:r w:rsidR="00780D0F" w:rsidRPr="007816F3">
        <w:rPr>
          <w:rFonts w:ascii="Arial" w:hAnsi="Arial" w:cs="Arial"/>
        </w:rPr>
        <w:t>) por lote, referente a la tarifa por la inscripción de actos a los que se refiere el inciso b) de la fracción IX del artículo 8 de la Ley Estatal de Derechos vigente. Lo anterior, siempre que el acto se encuentre relacionado al desarrollo de viviendas a que se refiere la fracción III del artículo 9 de la citada Ley;</w:t>
      </w:r>
    </w:p>
    <w:p w14:paraId="1E2428E7" w14:textId="77777777" w:rsidR="00780D0F" w:rsidRPr="007816F3" w:rsidRDefault="00780D0F" w:rsidP="004215F5">
      <w:pPr>
        <w:jc w:val="both"/>
        <w:rPr>
          <w:rFonts w:ascii="Arial" w:hAnsi="Arial" w:cs="Arial"/>
        </w:rPr>
      </w:pPr>
    </w:p>
    <w:p w14:paraId="6C41D8CB" w14:textId="7411C822" w:rsidR="00780D0F" w:rsidRPr="007816F3" w:rsidRDefault="00E5212C" w:rsidP="004215F5">
      <w:pPr>
        <w:jc w:val="both"/>
        <w:rPr>
          <w:rFonts w:ascii="Arial" w:hAnsi="Arial" w:cs="Arial"/>
        </w:rPr>
      </w:pPr>
      <w:r w:rsidRPr="007816F3">
        <w:rPr>
          <w:rFonts w:ascii="Arial" w:hAnsi="Arial" w:cs="Arial"/>
          <w:b/>
          <w:bCs/>
        </w:rPr>
        <w:t xml:space="preserve">IV. </w:t>
      </w:r>
      <w:r w:rsidR="00780D0F" w:rsidRPr="007816F3">
        <w:rPr>
          <w:rFonts w:ascii="Arial" w:hAnsi="Arial" w:cs="Arial"/>
        </w:rPr>
        <w:t>Las personas físicas y jurídicas afiliadas a la Cámara Nacional de la Industria de Desarrollo y Promoción de Vivienda, Delegación Hidalgo, tendrán una reducción de 8 Unidades de Medida y Actualización (</w:t>
      </w:r>
      <w:proofErr w:type="spellStart"/>
      <w:r w:rsidR="00780D0F" w:rsidRPr="007816F3">
        <w:rPr>
          <w:rFonts w:ascii="Arial" w:hAnsi="Arial" w:cs="Arial"/>
        </w:rPr>
        <w:t>UMAS</w:t>
      </w:r>
      <w:proofErr w:type="spellEnd"/>
      <w:r w:rsidR="00780D0F" w:rsidRPr="007816F3">
        <w:rPr>
          <w:rFonts w:ascii="Arial" w:hAnsi="Arial" w:cs="Arial"/>
        </w:rPr>
        <w:t>) por acto, sobre la tarifa relacionada con la inscripción de actos a los que se refiere la fracción III del artículo 9 de la Ley Estatal de Derechos vigente;</w:t>
      </w:r>
    </w:p>
    <w:p w14:paraId="3526CA66" w14:textId="77777777" w:rsidR="00780D0F" w:rsidRPr="007816F3" w:rsidRDefault="00780D0F" w:rsidP="004215F5">
      <w:pPr>
        <w:jc w:val="both"/>
        <w:rPr>
          <w:rFonts w:ascii="Arial" w:hAnsi="Arial" w:cs="Arial"/>
        </w:rPr>
      </w:pPr>
    </w:p>
    <w:p w14:paraId="2C2F7F33" w14:textId="1B6C072E" w:rsidR="00780D0F" w:rsidRPr="007816F3" w:rsidRDefault="00E5212C" w:rsidP="004215F5">
      <w:pPr>
        <w:jc w:val="both"/>
        <w:rPr>
          <w:rFonts w:ascii="Arial" w:hAnsi="Arial" w:cs="Arial"/>
        </w:rPr>
      </w:pPr>
      <w:r w:rsidRPr="007816F3">
        <w:rPr>
          <w:rFonts w:ascii="Arial" w:hAnsi="Arial" w:cs="Arial"/>
          <w:b/>
          <w:bCs/>
        </w:rPr>
        <w:t xml:space="preserve">V. </w:t>
      </w:r>
      <w:r w:rsidR="00780D0F" w:rsidRPr="007816F3">
        <w:rPr>
          <w:rFonts w:ascii="Arial" w:hAnsi="Arial" w:cs="Arial"/>
        </w:rPr>
        <w:t>Las personas físicas y jurídicas afiliadas a la Cámara Nacional de la Industria de Desarrollo y Promoción de Vivienda, Delegación Hidalgo, tendrán una reducción de 3 Unidades de Medida y Actualización (</w:t>
      </w:r>
      <w:proofErr w:type="spellStart"/>
      <w:r w:rsidR="00780D0F" w:rsidRPr="007816F3">
        <w:rPr>
          <w:rFonts w:ascii="Arial" w:hAnsi="Arial" w:cs="Arial"/>
        </w:rPr>
        <w:t>UMAS</w:t>
      </w:r>
      <w:proofErr w:type="spellEnd"/>
      <w:r w:rsidR="00780D0F" w:rsidRPr="007816F3">
        <w:rPr>
          <w:rFonts w:ascii="Arial" w:hAnsi="Arial" w:cs="Arial"/>
        </w:rPr>
        <w:t>) por certificado, de la tarifa relacionada con la expedición de estos a que se refieren las fracciones I, II, III y IV del artículo 15 de la Ley Estatal de Derechos vigente. Lo anterior, siempre que las certificaciones se encuentren relacionadas al desarrollo de viviendas a que se refiere la fracción III del artículo 9 de la citada Ley y que las certificaciones se tramiten por inmuebles en lo individual;</w:t>
      </w:r>
    </w:p>
    <w:p w14:paraId="352FA0B1" w14:textId="77777777" w:rsidR="00780D0F" w:rsidRPr="007816F3" w:rsidRDefault="00780D0F" w:rsidP="004215F5">
      <w:pPr>
        <w:jc w:val="both"/>
        <w:rPr>
          <w:rFonts w:ascii="Arial" w:hAnsi="Arial" w:cs="Arial"/>
        </w:rPr>
      </w:pPr>
    </w:p>
    <w:p w14:paraId="7F3485FB" w14:textId="3D297CFE" w:rsidR="00780D0F" w:rsidRPr="007816F3" w:rsidRDefault="00E5212C" w:rsidP="004215F5">
      <w:pPr>
        <w:jc w:val="both"/>
        <w:rPr>
          <w:rFonts w:ascii="Arial" w:hAnsi="Arial" w:cs="Arial"/>
        </w:rPr>
      </w:pPr>
      <w:r w:rsidRPr="007816F3">
        <w:rPr>
          <w:rFonts w:ascii="Arial" w:hAnsi="Arial" w:cs="Arial"/>
          <w:b/>
          <w:bCs/>
        </w:rPr>
        <w:lastRenderedPageBreak/>
        <w:t xml:space="preserve">VI. </w:t>
      </w:r>
      <w:r w:rsidR="00780D0F" w:rsidRPr="007816F3">
        <w:rPr>
          <w:rFonts w:ascii="Arial" w:hAnsi="Arial" w:cs="Arial"/>
        </w:rPr>
        <w:t>Cuando se expida un certificado por dos o más lotes o inmuebles de un desarrollo de viviendas a las que se refiere la fracción III del artículo 9 de la Ley Estatal de Derechos, o por la totalidad de estos, se pagará la tarifa establecida en la referida Ley, por cada certificación expedida;</w:t>
      </w:r>
    </w:p>
    <w:p w14:paraId="1D04ECAA" w14:textId="77777777" w:rsidR="00780D0F" w:rsidRPr="007816F3" w:rsidRDefault="00780D0F" w:rsidP="004215F5">
      <w:pPr>
        <w:jc w:val="both"/>
        <w:rPr>
          <w:rFonts w:ascii="Arial" w:hAnsi="Arial" w:cs="Arial"/>
        </w:rPr>
      </w:pPr>
    </w:p>
    <w:p w14:paraId="60F8009C" w14:textId="7AD6C6DF" w:rsidR="00780D0F" w:rsidRPr="007816F3" w:rsidRDefault="00E5212C" w:rsidP="004215F5">
      <w:pPr>
        <w:jc w:val="both"/>
        <w:rPr>
          <w:rFonts w:ascii="Arial" w:hAnsi="Arial" w:cs="Arial"/>
        </w:rPr>
      </w:pPr>
      <w:r w:rsidRPr="007816F3">
        <w:rPr>
          <w:rFonts w:ascii="Arial" w:hAnsi="Arial" w:cs="Arial"/>
          <w:b/>
          <w:bCs/>
        </w:rPr>
        <w:t xml:space="preserve">VII. </w:t>
      </w:r>
      <w:r w:rsidR="00780D0F" w:rsidRPr="007816F3">
        <w:rPr>
          <w:rFonts w:ascii="Arial" w:hAnsi="Arial" w:cs="Arial"/>
        </w:rPr>
        <w:t>Los inmuebles cuyo valor catastral sea de hasta 130 Unidades de Medida y Actualización (</w:t>
      </w:r>
      <w:proofErr w:type="spellStart"/>
      <w:r w:rsidR="00780D0F" w:rsidRPr="007816F3">
        <w:rPr>
          <w:rFonts w:ascii="Arial" w:hAnsi="Arial" w:cs="Arial"/>
        </w:rPr>
        <w:t>UMAS</w:t>
      </w:r>
      <w:proofErr w:type="spellEnd"/>
      <w:r w:rsidR="00780D0F" w:rsidRPr="007816F3">
        <w:rPr>
          <w:rFonts w:ascii="Arial" w:hAnsi="Arial" w:cs="Arial"/>
        </w:rPr>
        <w:t xml:space="preserve">) elevadas al mes, tendrán una reducción de 76 </w:t>
      </w:r>
      <w:proofErr w:type="spellStart"/>
      <w:r w:rsidR="00780D0F" w:rsidRPr="007816F3">
        <w:rPr>
          <w:rFonts w:ascii="Arial" w:hAnsi="Arial" w:cs="Arial"/>
        </w:rPr>
        <w:t>UMAS</w:t>
      </w:r>
      <w:proofErr w:type="spellEnd"/>
      <w:r w:rsidR="00780D0F" w:rsidRPr="007816F3">
        <w:rPr>
          <w:rFonts w:ascii="Arial" w:hAnsi="Arial" w:cs="Arial"/>
        </w:rPr>
        <w:t xml:space="preserve"> en las tarifas establecidas en las fracciones I, inciso b), III, VI, VII, X y XII del artículo 8 de la Ley Estatal de Derechos vigente;</w:t>
      </w:r>
    </w:p>
    <w:p w14:paraId="253C4C1F" w14:textId="77777777" w:rsidR="00780D0F" w:rsidRPr="007816F3" w:rsidRDefault="00780D0F" w:rsidP="004215F5">
      <w:pPr>
        <w:jc w:val="both"/>
        <w:rPr>
          <w:rFonts w:ascii="Arial" w:hAnsi="Arial" w:cs="Arial"/>
        </w:rPr>
      </w:pPr>
    </w:p>
    <w:p w14:paraId="154106DF" w14:textId="7114B675" w:rsidR="00780D0F" w:rsidRPr="007816F3" w:rsidRDefault="00E5212C" w:rsidP="004215F5">
      <w:pPr>
        <w:jc w:val="both"/>
        <w:rPr>
          <w:rFonts w:ascii="Arial" w:hAnsi="Arial" w:cs="Arial"/>
        </w:rPr>
      </w:pPr>
      <w:r w:rsidRPr="007816F3">
        <w:rPr>
          <w:rFonts w:ascii="Arial" w:hAnsi="Arial" w:cs="Arial"/>
          <w:b/>
          <w:bCs/>
        </w:rPr>
        <w:t xml:space="preserve">VIII. </w:t>
      </w:r>
      <w:r w:rsidR="00780D0F" w:rsidRPr="007816F3">
        <w:rPr>
          <w:rFonts w:ascii="Arial" w:hAnsi="Arial" w:cs="Arial"/>
        </w:rPr>
        <w:t>Los inmuebles cuyo valor catastral sea mayor a 130 Unidades de Medida y Actualización (</w:t>
      </w:r>
      <w:proofErr w:type="spellStart"/>
      <w:r w:rsidR="00780D0F" w:rsidRPr="007816F3">
        <w:rPr>
          <w:rFonts w:ascii="Arial" w:hAnsi="Arial" w:cs="Arial"/>
        </w:rPr>
        <w:t>UMAS</w:t>
      </w:r>
      <w:proofErr w:type="spellEnd"/>
      <w:r w:rsidR="00780D0F" w:rsidRPr="007816F3">
        <w:rPr>
          <w:rFonts w:ascii="Arial" w:hAnsi="Arial" w:cs="Arial"/>
        </w:rPr>
        <w:t xml:space="preserve">) elevadas al mes y de hasta 384 </w:t>
      </w:r>
      <w:proofErr w:type="spellStart"/>
      <w:r w:rsidR="00780D0F" w:rsidRPr="007816F3">
        <w:rPr>
          <w:rFonts w:ascii="Arial" w:hAnsi="Arial" w:cs="Arial"/>
        </w:rPr>
        <w:t>UMAS</w:t>
      </w:r>
      <w:proofErr w:type="spellEnd"/>
      <w:r w:rsidR="00780D0F" w:rsidRPr="007816F3">
        <w:rPr>
          <w:rFonts w:ascii="Arial" w:hAnsi="Arial" w:cs="Arial"/>
        </w:rPr>
        <w:t xml:space="preserve"> elevadas al mes, tendrán una reducción de 33 </w:t>
      </w:r>
      <w:proofErr w:type="spellStart"/>
      <w:r w:rsidR="00780D0F" w:rsidRPr="007816F3">
        <w:rPr>
          <w:rFonts w:ascii="Arial" w:hAnsi="Arial" w:cs="Arial"/>
        </w:rPr>
        <w:t>UMAS</w:t>
      </w:r>
      <w:proofErr w:type="spellEnd"/>
      <w:r w:rsidR="00780D0F" w:rsidRPr="007816F3">
        <w:rPr>
          <w:rFonts w:ascii="Arial" w:hAnsi="Arial" w:cs="Arial"/>
        </w:rPr>
        <w:t xml:space="preserve"> en las tarifas establecidas en las fracciones I, inciso b), III, VI, VII, X y XII del artículo 8 de la Ley Estatal de Derechos vigente;</w:t>
      </w:r>
    </w:p>
    <w:p w14:paraId="7AB16908" w14:textId="77777777" w:rsidR="00780D0F" w:rsidRPr="007816F3" w:rsidRDefault="00780D0F" w:rsidP="004215F5">
      <w:pPr>
        <w:jc w:val="both"/>
        <w:rPr>
          <w:rFonts w:ascii="Arial" w:hAnsi="Arial" w:cs="Arial"/>
        </w:rPr>
      </w:pPr>
    </w:p>
    <w:p w14:paraId="031757D0" w14:textId="49B4C06D" w:rsidR="00780D0F" w:rsidRPr="007816F3" w:rsidRDefault="00E5212C" w:rsidP="004215F5">
      <w:pPr>
        <w:jc w:val="both"/>
        <w:rPr>
          <w:rFonts w:ascii="Arial" w:hAnsi="Arial" w:cs="Arial"/>
        </w:rPr>
      </w:pPr>
      <w:r w:rsidRPr="007816F3">
        <w:rPr>
          <w:rFonts w:ascii="Arial" w:hAnsi="Arial" w:cs="Arial"/>
          <w:b/>
          <w:bCs/>
        </w:rPr>
        <w:t xml:space="preserve">IX. </w:t>
      </w:r>
      <w:r w:rsidR="00780D0F" w:rsidRPr="007816F3">
        <w:rPr>
          <w:rFonts w:ascii="Arial" w:hAnsi="Arial" w:cs="Arial"/>
        </w:rPr>
        <w:t>En ningún caso, los contribuyentes pagarán más de lo que correspondería de aplicárseles la disposición contenida en la Ley Estatal de Derechos vigente. Los Fedatarios Públicos y funcionarios del Registro Público de la Propiedad del Estado de Hidalgo y/o el Instituto de la Función Registral, deberán ajustarse a lo dispuesto por la referida Ley y el presente artículo, y</w:t>
      </w:r>
    </w:p>
    <w:p w14:paraId="31907C70" w14:textId="77777777" w:rsidR="00780D0F" w:rsidRPr="007816F3" w:rsidRDefault="00780D0F" w:rsidP="004215F5">
      <w:pPr>
        <w:jc w:val="both"/>
        <w:rPr>
          <w:rFonts w:ascii="Arial" w:hAnsi="Arial" w:cs="Arial"/>
        </w:rPr>
      </w:pPr>
    </w:p>
    <w:p w14:paraId="0F029F2C" w14:textId="385797B5" w:rsidR="00780D0F" w:rsidRPr="007816F3" w:rsidRDefault="00E5212C" w:rsidP="004215F5">
      <w:pPr>
        <w:jc w:val="both"/>
        <w:rPr>
          <w:rFonts w:ascii="Arial" w:hAnsi="Arial" w:cs="Arial"/>
        </w:rPr>
      </w:pPr>
      <w:r w:rsidRPr="007816F3">
        <w:rPr>
          <w:rFonts w:ascii="Arial" w:hAnsi="Arial" w:cs="Arial"/>
          <w:b/>
          <w:bCs/>
        </w:rPr>
        <w:t xml:space="preserve">X. </w:t>
      </w:r>
      <w:r w:rsidR="00780D0F" w:rsidRPr="007816F3">
        <w:rPr>
          <w:rFonts w:ascii="Arial" w:hAnsi="Arial" w:cs="Arial"/>
        </w:rPr>
        <w:t xml:space="preserve">En virtud de privilegiar la certeza, seguridad jurídica y económica y las condiciones para la adquisición de los bienes inmuebles, en aplicación del principio de “prelación y/o prioridad registral” de estos actos traslativos de dominio, y que los mismos incluyan actos conexos, anexos y accesorios, como por ejemplo, cancelación parcial de hipoteca, crédito hipotecario, etc., siempre y cuando estén contenidos en el mismo instrumento público notarial, durante el proceso de inicio a través de la solicitud de la anotación del primer aviso preventivo, que fuere procedente a petición del fedatario público, del certificado sobre la existencia o no de limites o gravámenes que pesen sobre el bien raíz, cuya vigencia del aviso tendrá una duración de 30 días naturales, acto seguido perfeccionándose el acto jurídico durante la vigencia del primer aviso y presentando la solicitud ante el registro del segundo aviso preventivo, cuya anotación por disposición legal tiene una vigencia de noventa días naturales para el segundo, de conformidad con los artículos 17 y 112, así como relativos y aplicables de la Ley del Registro Público de la Propiedad del Estado de Hidalgo y su TRANSITORIO CUARTO, publicada en el Alcance Dos al Periódico Oficial del Estado de Hidalgo de fecha 22 de Diciembre de 2014; 103 fracción I del Reglamento de la Ley del Registro Público de la Propiedad del Estado de Hidalgo, publicado en el Alcance Seis al Periódico Oficial del Estado de Hidalgo de fecha 25 de mayo de 2022; 3024 del Código Civil para el Estado de Hidalgo y 86 fracción I del citado Reglamento, tomando en cuenta que el pago por concepto de la procedencia de la inscripción mantuviera vigente el principio registral de referencia, se realizará en los términos antes mencionados y el monto que se pagará será el establecido en el valor correspondiente a las </w:t>
      </w:r>
      <w:proofErr w:type="spellStart"/>
      <w:r w:rsidR="00780D0F" w:rsidRPr="007816F3">
        <w:rPr>
          <w:rFonts w:ascii="Arial" w:hAnsi="Arial" w:cs="Arial"/>
        </w:rPr>
        <w:t>UMAS</w:t>
      </w:r>
      <w:proofErr w:type="spellEnd"/>
      <w:r w:rsidR="00780D0F" w:rsidRPr="007816F3">
        <w:rPr>
          <w:rFonts w:ascii="Arial" w:hAnsi="Arial" w:cs="Arial"/>
        </w:rPr>
        <w:t xml:space="preserve"> del ejercicio fiscal anterior, es decir, hasta el 31 de mayo del año en curso permanecerá vigente la cantidad que resulte para aquellos actos traslativos de dominio, iniciados hasta el 31 de enero del 2025.</w:t>
      </w:r>
    </w:p>
    <w:p w14:paraId="72A1143A" w14:textId="77777777" w:rsidR="00780D0F" w:rsidRPr="007816F3" w:rsidRDefault="00780D0F" w:rsidP="004215F5">
      <w:pPr>
        <w:jc w:val="both"/>
        <w:rPr>
          <w:rFonts w:ascii="Arial" w:hAnsi="Arial" w:cs="Arial"/>
        </w:rPr>
      </w:pPr>
    </w:p>
    <w:p w14:paraId="5C763B5F" w14:textId="77777777" w:rsidR="00B32FC9" w:rsidRPr="007816F3" w:rsidRDefault="00B32FC9" w:rsidP="004215F5">
      <w:pPr>
        <w:jc w:val="both"/>
        <w:rPr>
          <w:rFonts w:ascii="Arial" w:hAnsi="Arial" w:cs="Arial"/>
        </w:rPr>
      </w:pPr>
    </w:p>
    <w:p w14:paraId="2891EC95" w14:textId="77777777" w:rsidR="00780D0F" w:rsidRPr="007816F3" w:rsidRDefault="00780D0F" w:rsidP="004215F5">
      <w:pPr>
        <w:jc w:val="center"/>
        <w:rPr>
          <w:rFonts w:ascii="Arial" w:hAnsi="Arial" w:cs="Arial"/>
          <w:b/>
          <w:bCs/>
        </w:rPr>
      </w:pPr>
      <w:r w:rsidRPr="007816F3">
        <w:rPr>
          <w:rFonts w:ascii="Arial" w:hAnsi="Arial" w:cs="Arial"/>
          <w:b/>
          <w:bCs/>
        </w:rPr>
        <w:t>SECCIÓN III</w:t>
      </w:r>
    </w:p>
    <w:p w14:paraId="012DDF2F" w14:textId="77777777" w:rsidR="00780D0F" w:rsidRPr="007816F3" w:rsidRDefault="00780D0F" w:rsidP="004215F5">
      <w:pPr>
        <w:jc w:val="center"/>
        <w:rPr>
          <w:rFonts w:ascii="Arial" w:hAnsi="Arial" w:cs="Arial"/>
        </w:rPr>
      </w:pPr>
      <w:r w:rsidRPr="007816F3">
        <w:rPr>
          <w:rFonts w:ascii="Arial" w:hAnsi="Arial" w:cs="Arial"/>
          <w:b/>
          <w:bCs/>
        </w:rPr>
        <w:t>DEL CENTRO ESTATAL DE EVALUACIÓN Y CONTROL DE CONFIANZA</w:t>
      </w:r>
    </w:p>
    <w:p w14:paraId="57D7B363" w14:textId="77777777" w:rsidR="00780D0F" w:rsidRPr="007816F3" w:rsidRDefault="00780D0F" w:rsidP="004215F5">
      <w:pPr>
        <w:jc w:val="both"/>
        <w:rPr>
          <w:rFonts w:ascii="Arial" w:hAnsi="Arial" w:cs="Arial"/>
        </w:rPr>
      </w:pPr>
    </w:p>
    <w:p w14:paraId="0909C858" w14:textId="77777777" w:rsidR="00780D0F" w:rsidRPr="007816F3" w:rsidRDefault="00780D0F" w:rsidP="004215F5">
      <w:pPr>
        <w:jc w:val="both"/>
        <w:rPr>
          <w:rFonts w:ascii="Arial" w:hAnsi="Arial" w:cs="Arial"/>
        </w:rPr>
      </w:pPr>
      <w:r w:rsidRPr="007816F3">
        <w:rPr>
          <w:rFonts w:ascii="Arial" w:hAnsi="Arial" w:cs="Arial"/>
          <w:b/>
          <w:bCs/>
        </w:rPr>
        <w:t>Artículo 13.</w:t>
      </w:r>
      <w:r w:rsidRPr="007816F3">
        <w:rPr>
          <w:rFonts w:ascii="Arial" w:hAnsi="Arial" w:cs="Arial"/>
        </w:rPr>
        <w:t xml:space="preserve"> Se otorgan los siguientes estímulos fiscales en el pago de Derechos ante el Centro Estatal de Evaluación y Control de Confianza del Estado de Hidalgo de la Secretaría de Seguridad Pública, contenidos en el artículo 32 de la Ley Estatal de Derechos, de acuerdo a las siguientes consideraciones:</w:t>
      </w:r>
    </w:p>
    <w:p w14:paraId="57577BB5" w14:textId="77777777" w:rsidR="00780D0F" w:rsidRPr="007816F3" w:rsidRDefault="00780D0F" w:rsidP="004215F5">
      <w:pPr>
        <w:jc w:val="both"/>
        <w:rPr>
          <w:rFonts w:ascii="Arial" w:hAnsi="Arial" w:cs="Arial"/>
        </w:rPr>
      </w:pPr>
    </w:p>
    <w:p w14:paraId="5231C13E" w14:textId="624D8BB5" w:rsidR="00780D0F" w:rsidRPr="007816F3" w:rsidRDefault="00780D0F" w:rsidP="004215F5">
      <w:pPr>
        <w:jc w:val="both"/>
        <w:rPr>
          <w:rFonts w:ascii="Arial" w:hAnsi="Arial" w:cs="Arial"/>
        </w:rPr>
      </w:pPr>
      <w:r w:rsidRPr="007816F3">
        <w:rPr>
          <w:rFonts w:ascii="Arial" w:hAnsi="Arial" w:cs="Arial"/>
          <w:b/>
          <w:bCs/>
        </w:rPr>
        <w:t>I.</w:t>
      </w:r>
      <w:r w:rsidR="00B32FC9" w:rsidRPr="007816F3">
        <w:rPr>
          <w:rFonts w:ascii="Arial" w:hAnsi="Arial" w:cs="Arial"/>
        </w:rPr>
        <w:t xml:space="preserve"> </w:t>
      </w:r>
      <w:r w:rsidRPr="007816F3">
        <w:rPr>
          <w:rFonts w:ascii="Arial" w:hAnsi="Arial" w:cs="Arial"/>
        </w:rPr>
        <w:t>El Centro Estatal de Evaluación y Control de Confianza del Estado de Hidalgo, aplicará las evaluaciones de control de confianza, a los elementos de Seguridad Pública y Privada que operan en el Estado de Hidalgo;</w:t>
      </w:r>
    </w:p>
    <w:p w14:paraId="59CF5657" w14:textId="77777777" w:rsidR="00780D0F" w:rsidRPr="007816F3" w:rsidRDefault="00780D0F" w:rsidP="004215F5">
      <w:pPr>
        <w:jc w:val="both"/>
        <w:rPr>
          <w:rFonts w:ascii="Arial" w:hAnsi="Arial" w:cs="Arial"/>
        </w:rPr>
      </w:pPr>
    </w:p>
    <w:p w14:paraId="02303A40" w14:textId="15BCA28F" w:rsidR="00780D0F" w:rsidRPr="007816F3" w:rsidRDefault="00780D0F" w:rsidP="004215F5">
      <w:pPr>
        <w:jc w:val="both"/>
        <w:rPr>
          <w:rFonts w:ascii="Arial" w:hAnsi="Arial" w:cs="Arial"/>
        </w:rPr>
      </w:pPr>
      <w:r w:rsidRPr="007816F3">
        <w:rPr>
          <w:rFonts w:ascii="Arial" w:hAnsi="Arial" w:cs="Arial"/>
          <w:b/>
          <w:bCs/>
        </w:rPr>
        <w:t>II.</w:t>
      </w:r>
      <w:r w:rsidR="00B32FC9" w:rsidRPr="007816F3">
        <w:rPr>
          <w:rFonts w:ascii="Arial" w:hAnsi="Arial" w:cs="Arial"/>
        </w:rPr>
        <w:t xml:space="preserve"> </w:t>
      </w:r>
      <w:r w:rsidRPr="007816F3">
        <w:rPr>
          <w:rFonts w:ascii="Arial" w:hAnsi="Arial" w:cs="Arial"/>
        </w:rPr>
        <w:t xml:space="preserve">Las evaluaciones médico toxicológicas, psicológica, poligráfica y de entorno social y situación patrimonial, se aplicarán conforme a los lineamientos y especificaciones que emita el Centro Nacional de Certificación y Acreditación de la Secretaría de Seguridad y Protección Ciudadana, a través del </w:t>
      </w:r>
      <w:proofErr w:type="gramStart"/>
      <w:r w:rsidRPr="007816F3">
        <w:rPr>
          <w:rFonts w:ascii="Arial" w:hAnsi="Arial" w:cs="Arial"/>
        </w:rPr>
        <w:t>Secretario</w:t>
      </w:r>
      <w:r w:rsidR="00B32FC9" w:rsidRPr="007816F3">
        <w:rPr>
          <w:rFonts w:ascii="Arial" w:hAnsi="Arial" w:cs="Arial"/>
        </w:rPr>
        <w:t xml:space="preserve"> </w:t>
      </w:r>
      <w:r w:rsidRPr="007816F3">
        <w:rPr>
          <w:rFonts w:ascii="Arial" w:hAnsi="Arial" w:cs="Arial"/>
        </w:rPr>
        <w:t>Ejecutivo</w:t>
      </w:r>
      <w:proofErr w:type="gramEnd"/>
      <w:r w:rsidRPr="007816F3">
        <w:rPr>
          <w:rFonts w:ascii="Arial" w:hAnsi="Arial" w:cs="Arial"/>
        </w:rPr>
        <w:t xml:space="preserve"> del Sistema Nacional de Seguridad Pública; </w:t>
      </w:r>
    </w:p>
    <w:p w14:paraId="0F375948" w14:textId="77777777" w:rsidR="00780D0F" w:rsidRPr="007816F3" w:rsidRDefault="00780D0F" w:rsidP="004215F5">
      <w:pPr>
        <w:jc w:val="both"/>
        <w:rPr>
          <w:rFonts w:ascii="Arial" w:hAnsi="Arial" w:cs="Arial"/>
        </w:rPr>
      </w:pPr>
    </w:p>
    <w:p w14:paraId="5968E331" w14:textId="3E71047B" w:rsidR="00780D0F" w:rsidRPr="007816F3" w:rsidRDefault="00780D0F" w:rsidP="004215F5">
      <w:pPr>
        <w:jc w:val="both"/>
        <w:rPr>
          <w:rFonts w:ascii="Arial" w:hAnsi="Arial" w:cs="Arial"/>
        </w:rPr>
      </w:pPr>
      <w:r w:rsidRPr="007816F3">
        <w:rPr>
          <w:rFonts w:ascii="Arial" w:hAnsi="Arial" w:cs="Arial"/>
          <w:b/>
          <w:bCs/>
        </w:rPr>
        <w:lastRenderedPageBreak/>
        <w:t>III.</w:t>
      </w:r>
      <w:r w:rsidR="00B32FC9" w:rsidRPr="007816F3">
        <w:rPr>
          <w:rFonts w:ascii="Arial" w:hAnsi="Arial" w:cs="Arial"/>
        </w:rPr>
        <w:t xml:space="preserve"> </w:t>
      </w:r>
      <w:r w:rsidRPr="007816F3">
        <w:rPr>
          <w:rFonts w:ascii="Arial" w:hAnsi="Arial" w:cs="Arial"/>
        </w:rPr>
        <w:t>El Centro Estatal de Evaluación y Control de Confianza aplicará las evaluaciones de control de confianza, de acuerdo al cronograma de trabajo que al respecto elabore y que oportunamente difunda a los entes públicos y privados que realizan funciones de seguridad, y</w:t>
      </w:r>
    </w:p>
    <w:p w14:paraId="27E0BCF2" w14:textId="77777777" w:rsidR="00780D0F" w:rsidRPr="007816F3" w:rsidRDefault="00780D0F" w:rsidP="004215F5">
      <w:pPr>
        <w:jc w:val="both"/>
        <w:rPr>
          <w:rFonts w:ascii="Arial" w:hAnsi="Arial" w:cs="Arial"/>
        </w:rPr>
      </w:pPr>
    </w:p>
    <w:p w14:paraId="73BD6A33" w14:textId="0ABEF643" w:rsidR="00780D0F" w:rsidRPr="007816F3" w:rsidRDefault="00780D0F" w:rsidP="004215F5">
      <w:pPr>
        <w:jc w:val="both"/>
        <w:rPr>
          <w:rFonts w:ascii="Arial" w:hAnsi="Arial" w:cs="Arial"/>
        </w:rPr>
      </w:pPr>
      <w:r w:rsidRPr="007816F3">
        <w:rPr>
          <w:rFonts w:ascii="Arial" w:hAnsi="Arial" w:cs="Arial"/>
          <w:b/>
          <w:bCs/>
        </w:rPr>
        <w:t>IV.</w:t>
      </w:r>
      <w:r w:rsidR="00B32FC9" w:rsidRPr="007816F3">
        <w:rPr>
          <w:rFonts w:ascii="Arial" w:hAnsi="Arial" w:cs="Arial"/>
        </w:rPr>
        <w:t xml:space="preserve"> </w:t>
      </w:r>
      <w:r w:rsidRPr="007816F3">
        <w:rPr>
          <w:rFonts w:ascii="Arial" w:hAnsi="Arial" w:cs="Arial"/>
        </w:rPr>
        <w:t>Las evaluaciones médico toxicológicas, psicológicas, poligráficas y las de entorno social y situación patrimonial, que se practiquen en el Centro Estatal de Evaluación y Control de Confianza, tendrán un beneficio del 40%, para quedar como sigue:</w:t>
      </w:r>
    </w:p>
    <w:p w14:paraId="44A02202" w14:textId="77777777" w:rsidR="00780D0F" w:rsidRPr="007816F3" w:rsidRDefault="00780D0F" w:rsidP="004215F5">
      <w:pPr>
        <w:jc w:val="both"/>
        <w:rPr>
          <w:rFonts w:ascii="Arial" w:hAnsi="Arial" w:cs="Arial"/>
        </w:rPr>
      </w:pPr>
    </w:p>
    <w:p w14:paraId="4E458DC1" w14:textId="4882AD2A" w:rsidR="00780D0F" w:rsidRPr="007816F3" w:rsidRDefault="00780D0F" w:rsidP="004215F5">
      <w:pPr>
        <w:jc w:val="both"/>
        <w:rPr>
          <w:rFonts w:ascii="Arial" w:hAnsi="Arial" w:cs="Arial"/>
        </w:rPr>
      </w:pPr>
      <w:r w:rsidRPr="007816F3">
        <w:rPr>
          <w:rFonts w:ascii="Arial" w:hAnsi="Arial" w:cs="Arial"/>
          <w:b/>
          <w:bCs/>
        </w:rPr>
        <w:t>a)</w:t>
      </w:r>
      <w:r w:rsidR="00B32FC9" w:rsidRPr="007816F3">
        <w:rPr>
          <w:rFonts w:ascii="Arial" w:hAnsi="Arial" w:cs="Arial"/>
        </w:rPr>
        <w:t xml:space="preserve"> </w:t>
      </w:r>
      <w:r w:rsidRPr="007816F3">
        <w:rPr>
          <w:rFonts w:ascii="Arial" w:hAnsi="Arial" w:cs="Arial"/>
        </w:rPr>
        <w:t xml:space="preserve">Por Evaluación Psicológica pagarán 7.8 </w:t>
      </w:r>
      <w:proofErr w:type="spellStart"/>
      <w:r w:rsidRPr="007816F3">
        <w:rPr>
          <w:rFonts w:ascii="Arial" w:hAnsi="Arial" w:cs="Arial"/>
        </w:rPr>
        <w:t>UMAS</w:t>
      </w:r>
      <w:proofErr w:type="spellEnd"/>
      <w:r w:rsidRPr="007816F3">
        <w:rPr>
          <w:rFonts w:ascii="Arial" w:hAnsi="Arial" w:cs="Arial"/>
        </w:rPr>
        <w:t>.</w:t>
      </w:r>
    </w:p>
    <w:p w14:paraId="25B4FDA3" w14:textId="77777777" w:rsidR="00B32FC9" w:rsidRPr="007816F3" w:rsidRDefault="00B32FC9" w:rsidP="004215F5">
      <w:pPr>
        <w:jc w:val="both"/>
        <w:rPr>
          <w:rFonts w:ascii="Arial" w:hAnsi="Arial" w:cs="Arial"/>
          <w:b/>
          <w:bCs/>
        </w:rPr>
      </w:pPr>
    </w:p>
    <w:p w14:paraId="5D5BF596" w14:textId="75A713F1" w:rsidR="00780D0F" w:rsidRPr="007816F3" w:rsidRDefault="00780D0F" w:rsidP="004215F5">
      <w:pPr>
        <w:jc w:val="both"/>
        <w:rPr>
          <w:rFonts w:ascii="Arial" w:hAnsi="Arial" w:cs="Arial"/>
        </w:rPr>
      </w:pPr>
      <w:r w:rsidRPr="007816F3">
        <w:rPr>
          <w:rFonts w:ascii="Arial" w:hAnsi="Arial" w:cs="Arial"/>
          <w:b/>
          <w:bCs/>
        </w:rPr>
        <w:t>b)</w:t>
      </w:r>
      <w:r w:rsidR="00B32FC9" w:rsidRPr="007816F3">
        <w:rPr>
          <w:rFonts w:ascii="Arial" w:hAnsi="Arial" w:cs="Arial"/>
        </w:rPr>
        <w:t xml:space="preserve"> </w:t>
      </w:r>
      <w:r w:rsidRPr="007816F3">
        <w:rPr>
          <w:rFonts w:ascii="Arial" w:hAnsi="Arial" w:cs="Arial"/>
        </w:rPr>
        <w:t xml:space="preserve">Por Evaluación Poligráfica pagarán 7.8 </w:t>
      </w:r>
      <w:proofErr w:type="spellStart"/>
      <w:r w:rsidRPr="007816F3">
        <w:rPr>
          <w:rFonts w:ascii="Arial" w:hAnsi="Arial" w:cs="Arial"/>
        </w:rPr>
        <w:t>UMAS</w:t>
      </w:r>
      <w:proofErr w:type="spellEnd"/>
      <w:r w:rsidRPr="007816F3">
        <w:rPr>
          <w:rFonts w:ascii="Arial" w:hAnsi="Arial" w:cs="Arial"/>
        </w:rPr>
        <w:t>.</w:t>
      </w:r>
    </w:p>
    <w:p w14:paraId="7A5579CB" w14:textId="77777777" w:rsidR="00B32FC9" w:rsidRPr="007816F3" w:rsidRDefault="00B32FC9" w:rsidP="004215F5">
      <w:pPr>
        <w:jc w:val="both"/>
        <w:rPr>
          <w:rFonts w:ascii="Arial" w:hAnsi="Arial" w:cs="Arial"/>
          <w:b/>
          <w:bCs/>
        </w:rPr>
      </w:pPr>
    </w:p>
    <w:p w14:paraId="2BE9587B" w14:textId="2B731E13" w:rsidR="00780D0F" w:rsidRPr="007816F3" w:rsidRDefault="00780D0F" w:rsidP="004215F5">
      <w:pPr>
        <w:jc w:val="both"/>
        <w:rPr>
          <w:rFonts w:ascii="Arial" w:hAnsi="Arial" w:cs="Arial"/>
        </w:rPr>
      </w:pPr>
      <w:r w:rsidRPr="007816F3">
        <w:rPr>
          <w:rFonts w:ascii="Arial" w:hAnsi="Arial" w:cs="Arial"/>
          <w:b/>
          <w:bCs/>
        </w:rPr>
        <w:t>c)</w:t>
      </w:r>
      <w:r w:rsidR="00B32FC9" w:rsidRPr="007816F3">
        <w:rPr>
          <w:rFonts w:ascii="Arial" w:hAnsi="Arial" w:cs="Arial"/>
        </w:rPr>
        <w:t xml:space="preserve"> </w:t>
      </w:r>
      <w:r w:rsidRPr="007816F3">
        <w:rPr>
          <w:rFonts w:ascii="Arial" w:hAnsi="Arial" w:cs="Arial"/>
        </w:rPr>
        <w:t xml:space="preserve">Por Evaluación Médico Toxicológica pagarán 20.28 </w:t>
      </w:r>
      <w:proofErr w:type="spellStart"/>
      <w:r w:rsidRPr="007816F3">
        <w:rPr>
          <w:rFonts w:ascii="Arial" w:hAnsi="Arial" w:cs="Arial"/>
        </w:rPr>
        <w:t>UMAS</w:t>
      </w:r>
      <w:proofErr w:type="spellEnd"/>
      <w:r w:rsidRPr="007816F3">
        <w:rPr>
          <w:rFonts w:ascii="Arial" w:hAnsi="Arial" w:cs="Arial"/>
        </w:rPr>
        <w:t>.</w:t>
      </w:r>
    </w:p>
    <w:p w14:paraId="58F6EB49" w14:textId="77777777" w:rsidR="00B32FC9" w:rsidRPr="007816F3" w:rsidRDefault="00B32FC9" w:rsidP="004215F5">
      <w:pPr>
        <w:jc w:val="both"/>
        <w:rPr>
          <w:rFonts w:ascii="Arial" w:hAnsi="Arial" w:cs="Arial"/>
          <w:b/>
          <w:bCs/>
        </w:rPr>
      </w:pPr>
    </w:p>
    <w:p w14:paraId="31F42A1F" w14:textId="3C2E581C" w:rsidR="00780D0F" w:rsidRPr="007816F3" w:rsidRDefault="00780D0F" w:rsidP="004215F5">
      <w:pPr>
        <w:jc w:val="both"/>
        <w:rPr>
          <w:rFonts w:ascii="Arial" w:hAnsi="Arial" w:cs="Arial"/>
        </w:rPr>
      </w:pPr>
      <w:r w:rsidRPr="007816F3">
        <w:rPr>
          <w:rFonts w:ascii="Arial" w:hAnsi="Arial" w:cs="Arial"/>
          <w:b/>
          <w:bCs/>
        </w:rPr>
        <w:t>d)</w:t>
      </w:r>
      <w:r w:rsidR="00B32FC9" w:rsidRPr="007816F3">
        <w:rPr>
          <w:rFonts w:ascii="Arial" w:hAnsi="Arial" w:cs="Arial"/>
        </w:rPr>
        <w:t xml:space="preserve"> </w:t>
      </w:r>
      <w:r w:rsidRPr="007816F3">
        <w:rPr>
          <w:rFonts w:ascii="Arial" w:hAnsi="Arial" w:cs="Arial"/>
        </w:rPr>
        <w:t xml:space="preserve">Por Evaluación de Entorno Socioeconómico pagarán 15.6 </w:t>
      </w:r>
      <w:proofErr w:type="spellStart"/>
      <w:r w:rsidRPr="007816F3">
        <w:rPr>
          <w:rFonts w:ascii="Arial" w:hAnsi="Arial" w:cs="Arial"/>
        </w:rPr>
        <w:t>UMAS</w:t>
      </w:r>
      <w:proofErr w:type="spellEnd"/>
      <w:r w:rsidRPr="007816F3">
        <w:rPr>
          <w:rFonts w:ascii="Arial" w:hAnsi="Arial" w:cs="Arial"/>
        </w:rPr>
        <w:t>.</w:t>
      </w:r>
    </w:p>
    <w:p w14:paraId="7F00AD04" w14:textId="77777777" w:rsidR="00780D0F" w:rsidRPr="007816F3" w:rsidRDefault="00780D0F" w:rsidP="004215F5">
      <w:pPr>
        <w:jc w:val="both"/>
        <w:rPr>
          <w:rFonts w:ascii="Arial" w:hAnsi="Arial" w:cs="Arial"/>
        </w:rPr>
      </w:pPr>
    </w:p>
    <w:p w14:paraId="57FA76C6" w14:textId="77777777" w:rsidR="00780D0F" w:rsidRPr="007816F3" w:rsidRDefault="00780D0F" w:rsidP="004215F5">
      <w:pPr>
        <w:jc w:val="both"/>
        <w:rPr>
          <w:rFonts w:ascii="Arial" w:hAnsi="Arial" w:cs="Arial"/>
        </w:rPr>
      </w:pPr>
      <w:r w:rsidRPr="007816F3">
        <w:rPr>
          <w:rFonts w:ascii="Arial" w:hAnsi="Arial" w:cs="Arial"/>
        </w:rPr>
        <w:t>Los servidores públicos del Centro Estatal de Evaluación y Control de Confianza, que realicen los cobros por concepto de la aplicación de las evaluaciones mencionadas en la fracción IV del presente, deberán incluir la leyenda “Conforme al artículo 13 de la Ley de Ingresos del Estado Libre y Soberano de Hidalgo, para el Ejercicio Fiscal del año 2025, en el apartado de datos adicionales del formato F-7”.</w:t>
      </w:r>
    </w:p>
    <w:p w14:paraId="3EAB81BE" w14:textId="77777777" w:rsidR="00780D0F" w:rsidRPr="007816F3" w:rsidRDefault="00780D0F" w:rsidP="004215F5">
      <w:pPr>
        <w:jc w:val="both"/>
        <w:rPr>
          <w:rFonts w:ascii="Arial" w:hAnsi="Arial" w:cs="Arial"/>
        </w:rPr>
      </w:pPr>
    </w:p>
    <w:p w14:paraId="549D1A82" w14:textId="77777777" w:rsidR="00780D0F" w:rsidRPr="007816F3" w:rsidRDefault="00780D0F" w:rsidP="004215F5">
      <w:pPr>
        <w:jc w:val="both"/>
        <w:rPr>
          <w:rFonts w:ascii="Arial" w:hAnsi="Arial" w:cs="Arial"/>
        </w:rPr>
      </w:pPr>
      <w:r w:rsidRPr="007816F3">
        <w:rPr>
          <w:rFonts w:ascii="Arial" w:hAnsi="Arial" w:cs="Arial"/>
        </w:rPr>
        <w:t>En lo referente a la Policía Industrial Bancaria del Estado de Hidalgo, las evaluaciones que se apliquen a sus elementos podrán ser cubiertas mediante la suscripción de convenios específicos de colaboración, para la aplicación de evaluaciones de control de confianza.</w:t>
      </w:r>
    </w:p>
    <w:p w14:paraId="2A0EC7D1" w14:textId="77777777" w:rsidR="00780D0F" w:rsidRPr="007816F3" w:rsidRDefault="00780D0F" w:rsidP="004215F5">
      <w:pPr>
        <w:jc w:val="both"/>
        <w:rPr>
          <w:rFonts w:ascii="Arial" w:hAnsi="Arial" w:cs="Arial"/>
        </w:rPr>
      </w:pPr>
    </w:p>
    <w:p w14:paraId="21542670" w14:textId="77777777" w:rsidR="00254A39" w:rsidRPr="007816F3" w:rsidRDefault="00254A39" w:rsidP="004215F5">
      <w:pPr>
        <w:jc w:val="both"/>
        <w:rPr>
          <w:rFonts w:ascii="Arial" w:hAnsi="Arial" w:cs="Arial"/>
        </w:rPr>
      </w:pPr>
    </w:p>
    <w:p w14:paraId="1414678F" w14:textId="77777777" w:rsidR="00780D0F" w:rsidRPr="007816F3" w:rsidRDefault="00780D0F" w:rsidP="004215F5">
      <w:pPr>
        <w:jc w:val="center"/>
        <w:rPr>
          <w:rFonts w:ascii="Arial" w:hAnsi="Arial" w:cs="Arial"/>
          <w:b/>
          <w:bCs/>
        </w:rPr>
      </w:pPr>
      <w:r w:rsidRPr="007816F3">
        <w:rPr>
          <w:rFonts w:ascii="Arial" w:hAnsi="Arial" w:cs="Arial"/>
          <w:b/>
          <w:bCs/>
        </w:rPr>
        <w:t>SECCIÓN IV</w:t>
      </w:r>
    </w:p>
    <w:p w14:paraId="6DD58920" w14:textId="77777777" w:rsidR="00780D0F" w:rsidRPr="007816F3" w:rsidRDefault="00780D0F" w:rsidP="004215F5">
      <w:pPr>
        <w:jc w:val="center"/>
        <w:rPr>
          <w:rFonts w:ascii="Arial" w:hAnsi="Arial" w:cs="Arial"/>
          <w:b/>
          <w:bCs/>
        </w:rPr>
      </w:pPr>
      <w:r w:rsidRPr="007816F3">
        <w:rPr>
          <w:rFonts w:ascii="Arial" w:hAnsi="Arial" w:cs="Arial"/>
          <w:b/>
          <w:bCs/>
        </w:rPr>
        <w:t>DEL INSTITUTO DE FORMACIÓN PROFESIONAL</w:t>
      </w:r>
    </w:p>
    <w:p w14:paraId="33FA88F6" w14:textId="77777777" w:rsidR="00780D0F" w:rsidRPr="007816F3" w:rsidRDefault="00780D0F" w:rsidP="004215F5">
      <w:pPr>
        <w:jc w:val="both"/>
        <w:rPr>
          <w:rFonts w:ascii="Arial" w:hAnsi="Arial" w:cs="Arial"/>
        </w:rPr>
      </w:pPr>
    </w:p>
    <w:p w14:paraId="2D65146B" w14:textId="77777777" w:rsidR="00780D0F" w:rsidRPr="007816F3" w:rsidRDefault="00780D0F" w:rsidP="004215F5">
      <w:pPr>
        <w:jc w:val="both"/>
        <w:rPr>
          <w:rFonts w:ascii="Arial" w:hAnsi="Arial" w:cs="Arial"/>
        </w:rPr>
      </w:pPr>
      <w:r w:rsidRPr="007816F3">
        <w:rPr>
          <w:rFonts w:ascii="Arial" w:hAnsi="Arial" w:cs="Arial"/>
          <w:b/>
          <w:bCs/>
        </w:rPr>
        <w:t>Artículo 14.</w:t>
      </w:r>
      <w:r w:rsidRPr="007816F3">
        <w:rPr>
          <w:rFonts w:ascii="Arial" w:hAnsi="Arial" w:cs="Arial"/>
        </w:rPr>
        <w:t xml:space="preserve"> Se otorgan los estímulos fiscales en el pago de Derechos ante el Instituto de Formación Profesional del Estado de Hidalgo de la Secretaría de Seguridad Pública, contenidos en el artículo 31 de la Ley Estatal de Derechos, de acuerdo a las siguientes consideraciones:</w:t>
      </w:r>
    </w:p>
    <w:p w14:paraId="19CD188D" w14:textId="77777777" w:rsidR="00780D0F" w:rsidRPr="007816F3" w:rsidRDefault="00780D0F" w:rsidP="004215F5">
      <w:pPr>
        <w:jc w:val="both"/>
        <w:rPr>
          <w:rFonts w:ascii="Arial" w:hAnsi="Arial" w:cs="Arial"/>
        </w:rPr>
      </w:pPr>
      <w:r w:rsidRPr="007816F3">
        <w:rPr>
          <w:rFonts w:ascii="Arial" w:hAnsi="Arial" w:cs="Arial"/>
        </w:rPr>
        <w:t xml:space="preserve"> </w:t>
      </w:r>
    </w:p>
    <w:p w14:paraId="6C339E3B" w14:textId="47838D59" w:rsidR="00780D0F" w:rsidRPr="007816F3" w:rsidRDefault="00254A39" w:rsidP="004215F5">
      <w:pPr>
        <w:jc w:val="both"/>
        <w:rPr>
          <w:rFonts w:ascii="Arial" w:hAnsi="Arial" w:cs="Arial"/>
        </w:rPr>
      </w:pPr>
      <w:r w:rsidRPr="007816F3">
        <w:rPr>
          <w:rFonts w:ascii="Arial" w:hAnsi="Arial" w:cs="Arial"/>
          <w:b/>
          <w:bCs/>
        </w:rPr>
        <w:t xml:space="preserve">I. </w:t>
      </w:r>
      <w:r w:rsidR="00780D0F" w:rsidRPr="007816F3">
        <w:rPr>
          <w:rFonts w:ascii="Arial" w:hAnsi="Arial" w:cs="Arial"/>
        </w:rPr>
        <w:t>Se otorgará un estímulo fiscal del 100% en los conceptos contenidos en el artículo 31 de la Ley Estatal de Derechos por las capacitaciones otorgadas a los elementos de Seguridad Pública Estatal, pertenecientes a la Secretaría de Seguridad Pública del Estado de Hidalgo; y</w:t>
      </w:r>
    </w:p>
    <w:p w14:paraId="134A2271" w14:textId="77777777" w:rsidR="00780D0F" w:rsidRPr="007816F3" w:rsidRDefault="00780D0F" w:rsidP="004215F5">
      <w:pPr>
        <w:jc w:val="both"/>
        <w:rPr>
          <w:rFonts w:ascii="Arial" w:hAnsi="Arial" w:cs="Arial"/>
        </w:rPr>
      </w:pPr>
    </w:p>
    <w:p w14:paraId="1E17F6D6" w14:textId="1689FB4B" w:rsidR="00780D0F" w:rsidRPr="007816F3" w:rsidRDefault="00254A39" w:rsidP="004215F5">
      <w:pPr>
        <w:jc w:val="both"/>
        <w:rPr>
          <w:rFonts w:ascii="Arial" w:hAnsi="Arial" w:cs="Arial"/>
        </w:rPr>
      </w:pPr>
      <w:r w:rsidRPr="007816F3">
        <w:rPr>
          <w:rFonts w:ascii="Arial" w:hAnsi="Arial" w:cs="Arial"/>
          <w:b/>
          <w:bCs/>
        </w:rPr>
        <w:t xml:space="preserve">II. </w:t>
      </w:r>
      <w:r w:rsidR="00780D0F" w:rsidRPr="007816F3">
        <w:rPr>
          <w:rFonts w:ascii="Arial" w:hAnsi="Arial" w:cs="Arial"/>
        </w:rPr>
        <w:t>Se otorgará un estímulo fiscal del 50% en los conceptos contenidos en el artículo 31 fracción XXIX inciso a) numerales 1 y 2 de la Ley Estatal de Derechos, para los elementos de Seguridad Pública de los Municipios del Estado de Hidalgo, previo Convenio de Colaboración celebrado con la Secretaría de Seguridad Pública del Estado de Hidalgo.</w:t>
      </w:r>
    </w:p>
    <w:p w14:paraId="1865228C" w14:textId="77777777" w:rsidR="00780D0F" w:rsidRPr="007816F3" w:rsidRDefault="00780D0F" w:rsidP="004215F5">
      <w:pPr>
        <w:jc w:val="both"/>
        <w:rPr>
          <w:rFonts w:ascii="Arial" w:hAnsi="Arial" w:cs="Arial"/>
        </w:rPr>
      </w:pPr>
    </w:p>
    <w:p w14:paraId="7AEB0E2D" w14:textId="77777777" w:rsidR="00780D0F" w:rsidRPr="007816F3" w:rsidRDefault="00780D0F" w:rsidP="004215F5">
      <w:pPr>
        <w:jc w:val="both"/>
        <w:rPr>
          <w:rFonts w:ascii="Arial" w:hAnsi="Arial" w:cs="Arial"/>
        </w:rPr>
      </w:pPr>
    </w:p>
    <w:p w14:paraId="268BD2D4" w14:textId="77777777" w:rsidR="00780D0F" w:rsidRPr="007816F3" w:rsidRDefault="00780D0F" w:rsidP="004215F5">
      <w:pPr>
        <w:jc w:val="center"/>
        <w:rPr>
          <w:rFonts w:ascii="Arial" w:hAnsi="Arial" w:cs="Arial"/>
          <w:b/>
          <w:bCs/>
        </w:rPr>
      </w:pPr>
      <w:r w:rsidRPr="007816F3">
        <w:rPr>
          <w:rFonts w:ascii="Arial" w:hAnsi="Arial" w:cs="Arial"/>
          <w:b/>
          <w:bCs/>
        </w:rPr>
        <w:t>SECCIÓN V</w:t>
      </w:r>
    </w:p>
    <w:p w14:paraId="5D23D9DE" w14:textId="467A3719" w:rsidR="00780D0F" w:rsidRPr="007816F3" w:rsidRDefault="00780D0F" w:rsidP="004215F5">
      <w:pPr>
        <w:jc w:val="center"/>
        <w:rPr>
          <w:rFonts w:ascii="Arial" w:hAnsi="Arial" w:cs="Arial"/>
          <w:b/>
          <w:bCs/>
        </w:rPr>
      </w:pPr>
      <w:r w:rsidRPr="007816F3">
        <w:rPr>
          <w:rFonts w:ascii="Arial" w:hAnsi="Arial" w:cs="Arial"/>
          <w:b/>
          <w:bCs/>
        </w:rPr>
        <w:t>DE LA REDUCCIÓN DE MULTAS FISCALES</w:t>
      </w:r>
    </w:p>
    <w:p w14:paraId="436A0519" w14:textId="77777777" w:rsidR="00780D0F" w:rsidRPr="007816F3" w:rsidRDefault="00780D0F" w:rsidP="004215F5">
      <w:pPr>
        <w:jc w:val="both"/>
        <w:rPr>
          <w:rFonts w:ascii="Arial" w:hAnsi="Arial" w:cs="Arial"/>
        </w:rPr>
      </w:pPr>
    </w:p>
    <w:p w14:paraId="0C35015E" w14:textId="39AC0481" w:rsidR="00DD55F4" w:rsidRPr="00AD3F68" w:rsidRDefault="00780D0F" w:rsidP="004215F5">
      <w:pPr>
        <w:jc w:val="both"/>
        <w:rPr>
          <w:rFonts w:ascii="Arial" w:hAnsi="Arial" w:cs="Arial"/>
        </w:rPr>
      </w:pPr>
      <w:r w:rsidRPr="007816F3">
        <w:rPr>
          <w:rFonts w:ascii="Arial" w:hAnsi="Arial" w:cs="Arial"/>
          <w:b/>
          <w:bCs/>
        </w:rPr>
        <w:t>Artículo 15.</w:t>
      </w:r>
      <w:r w:rsidRPr="007816F3">
        <w:rPr>
          <w:rFonts w:ascii="Arial" w:hAnsi="Arial" w:cs="Arial"/>
        </w:rPr>
        <w:t xml:space="preserve"> Las multas fiscales estatales podrán ser reducidas por las autoridades fiscales estatales facultadas para ello en el presente artículo, tomando en consideración su antigüedad y el tipo de contribución que les dio origen, estableciéndose un porcentaje de descuento con base a los años transcurridos, a partir de la fecha en que fue notificada la misma y hasta la fecha de presentación de la solicitud, de conformidad con lo siguiente:</w:t>
      </w:r>
    </w:p>
    <w:p w14:paraId="073632B5" w14:textId="77777777" w:rsidR="00254A39" w:rsidRPr="00780D0F" w:rsidRDefault="00254A39" w:rsidP="004215F5">
      <w:pPr>
        <w:jc w:val="both"/>
        <w:rPr>
          <w:rFonts w:ascii="Arial" w:hAnsi="Arial" w:cs="Arial"/>
          <w:sz w:val="24"/>
          <w:szCs w:val="24"/>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835"/>
      </w:tblGrid>
      <w:tr w:rsidR="00254A39" w:rsidRPr="00675F6C" w14:paraId="0FC21794" w14:textId="77777777" w:rsidTr="00296B6A">
        <w:trPr>
          <w:trHeight w:val="93"/>
          <w:jc w:val="center"/>
        </w:trPr>
        <w:tc>
          <w:tcPr>
            <w:tcW w:w="2689" w:type="dxa"/>
          </w:tcPr>
          <w:p w14:paraId="3E5109BD" w14:textId="77777777" w:rsidR="00254A39" w:rsidRPr="00675F6C" w:rsidRDefault="00254A39" w:rsidP="004215F5">
            <w:pPr>
              <w:ind w:right="277"/>
              <w:jc w:val="center"/>
              <w:rPr>
                <w:rFonts w:ascii="Arial" w:eastAsia="Calibri" w:hAnsi="Arial" w:cs="Arial"/>
                <w:b/>
              </w:rPr>
            </w:pPr>
            <w:r w:rsidRPr="00675F6C">
              <w:rPr>
                <w:rFonts w:ascii="Arial" w:eastAsia="Calibri" w:hAnsi="Arial" w:cs="Arial"/>
                <w:b/>
              </w:rPr>
              <w:t>Antigüedad de la multa</w:t>
            </w:r>
          </w:p>
        </w:tc>
        <w:tc>
          <w:tcPr>
            <w:tcW w:w="2835" w:type="dxa"/>
          </w:tcPr>
          <w:p w14:paraId="45EF7E03" w14:textId="77777777" w:rsidR="00254A39" w:rsidRPr="00675F6C" w:rsidRDefault="00254A39" w:rsidP="004215F5">
            <w:pPr>
              <w:ind w:right="277"/>
              <w:jc w:val="center"/>
              <w:rPr>
                <w:rFonts w:ascii="Arial" w:eastAsia="Calibri" w:hAnsi="Arial" w:cs="Arial"/>
                <w:b/>
              </w:rPr>
            </w:pPr>
            <w:r w:rsidRPr="00675F6C">
              <w:rPr>
                <w:rFonts w:ascii="Arial" w:eastAsia="Calibri" w:hAnsi="Arial" w:cs="Arial"/>
                <w:b/>
              </w:rPr>
              <w:t>Impuestos propios y retenidos</w:t>
            </w:r>
          </w:p>
        </w:tc>
      </w:tr>
      <w:tr w:rsidR="00254A39" w:rsidRPr="00675F6C" w14:paraId="5266F6D2" w14:textId="77777777" w:rsidTr="00296B6A">
        <w:trPr>
          <w:trHeight w:val="93"/>
          <w:jc w:val="center"/>
        </w:trPr>
        <w:tc>
          <w:tcPr>
            <w:tcW w:w="2689" w:type="dxa"/>
          </w:tcPr>
          <w:p w14:paraId="240F3E1E" w14:textId="77777777" w:rsidR="00254A39" w:rsidRPr="00675F6C" w:rsidRDefault="00254A39" w:rsidP="004215F5">
            <w:pPr>
              <w:ind w:right="277"/>
              <w:jc w:val="both"/>
              <w:rPr>
                <w:rFonts w:ascii="Arial" w:eastAsia="Calibri" w:hAnsi="Arial" w:cs="Arial"/>
              </w:rPr>
            </w:pPr>
            <w:r w:rsidRPr="00675F6C">
              <w:rPr>
                <w:rFonts w:ascii="Arial" w:eastAsia="Calibri" w:hAnsi="Arial" w:cs="Arial"/>
              </w:rPr>
              <w:t xml:space="preserve">Hasta 1 año </w:t>
            </w:r>
          </w:p>
        </w:tc>
        <w:tc>
          <w:tcPr>
            <w:tcW w:w="2835" w:type="dxa"/>
          </w:tcPr>
          <w:p w14:paraId="77CEC4F6" w14:textId="77777777" w:rsidR="00254A39" w:rsidRPr="00675F6C" w:rsidRDefault="00254A39" w:rsidP="004215F5">
            <w:pPr>
              <w:ind w:right="277"/>
              <w:jc w:val="center"/>
              <w:rPr>
                <w:rFonts w:ascii="Arial" w:eastAsia="Calibri" w:hAnsi="Arial" w:cs="Arial"/>
              </w:rPr>
            </w:pPr>
            <w:r w:rsidRPr="00675F6C">
              <w:rPr>
                <w:rFonts w:ascii="Arial" w:eastAsia="Calibri" w:hAnsi="Arial" w:cs="Arial"/>
              </w:rPr>
              <w:t>80%</w:t>
            </w:r>
          </w:p>
        </w:tc>
      </w:tr>
      <w:tr w:rsidR="00254A39" w:rsidRPr="00675F6C" w14:paraId="0E619ED9" w14:textId="77777777" w:rsidTr="00296B6A">
        <w:trPr>
          <w:trHeight w:val="93"/>
          <w:jc w:val="center"/>
        </w:trPr>
        <w:tc>
          <w:tcPr>
            <w:tcW w:w="2689" w:type="dxa"/>
          </w:tcPr>
          <w:p w14:paraId="5317AE07" w14:textId="77777777" w:rsidR="00254A39" w:rsidRPr="00675F6C" w:rsidRDefault="00254A39" w:rsidP="004215F5">
            <w:pPr>
              <w:ind w:right="277"/>
              <w:jc w:val="both"/>
              <w:rPr>
                <w:rFonts w:ascii="Arial" w:eastAsia="Calibri" w:hAnsi="Arial" w:cs="Arial"/>
              </w:rPr>
            </w:pPr>
            <w:r w:rsidRPr="00675F6C">
              <w:rPr>
                <w:rFonts w:ascii="Arial" w:eastAsia="Calibri" w:hAnsi="Arial" w:cs="Arial"/>
              </w:rPr>
              <w:t>Más de 1 y hasta 2 años</w:t>
            </w:r>
          </w:p>
        </w:tc>
        <w:tc>
          <w:tcPr>
            <w:tcW w:w="2835" w:type="dxa"/>
          </w:tcPr>
          <w:p w14:paraId="4E7C3748" w14:textId="77777777" w:rsidR="00254A39" w:rsidRPr="00675F6C" w:rsidRDefault="00254A39" w:rsidP="004215F5">
            <w:pPr>
              <w:ind w:right="277"/>
              <w:jc w:val="center"/>
              <w:rPr>
                <w:rFonts w:ascii="Arial" w:eastAsia="Calibri" w:hAnsi="Arial" w:cs="Arial"/>
              </w:rPr>
            </w:pPr>
            <w:r w:rsidRPr="00675F6C">
              <w:rPr>
                <w:rFonts w:ascii="Arial" w:eastAsia="Calibri" w:hAnsi="Arial" w:cs="Arial"/>
              </w:rPr>
              <w:t>70%</w:t>
            </w:r>
          </w:p>
        </w:tc>
      </w:tr>
      <w:tr w:rsidR="00254A39" w:rsidRPr="00675F6C" w14:paraId="5BE0EE2C" w14:textId="77777777" w:rsidTr="00296B6A">
        <w:trPr>
          <w:trHeight w:val="93"/>
          <w:jc w:val="center"/>
        </w:trPr>
        <w:tc>
          <w:tcPr>
            <w:tcW w:w="2689" w:type="dxa"/>
          </w:tcPr>
          <w:p w14:paraId="5217AE91" w14:textId="77777777" w:rsidR="00254A39" w:rsidRPr="00675F6C" w:rsidRDefault="00254A39" w:rsidP="004215F5">
            <w:pPr>
              <w:ind w:right="277"/>
              <w:jc w:val="both"/>
              <w:rPr>
                <w:rFonts w:ascii="Arial" w:eastAsia="Calibri" w:hAnsi="Arial" w:cs="Arial"/>
              </w:rPr>
            </w:pPr>
            <w:r w:rsidRPr="00675F6C">
              <w:rPr>
                <w:rFonts w:ascii="Arial" w:eastAsia="Calibri" w:hAnsi="Arial" w:cs="Arial"/>
              </w:rPr>
              <w:lastRenderedPageBreak/>
              <w:t xml:space="preserve">Más de 2 y hasta 3 años </w:t>
            </w:r>
          </w:p>
        </w:tc>
        <w:tc>
          <w:tcPr>
            <w:tcW w:w="2835" w:type="dxa"/>
          </w:tcPr>
          <w:p w14:paraId="7190D24E" w14:textId="77777777" w:rsidR="00254A39" w:rsidRPr="00675F6C" w:rsidRDefault="00254A39" w:rsidP="004215F5">
            <w:pPr>
              <w:ind w:right="277"/>
              <w:jc w:val="center"/>
              <w:rPr>
                <w:rFonts w:ascii="Arial" w:eastAsia="Calibri" w:hAnsi="Arial" w:cs="Arial"/>
              </w:rPr>
            </w:pPr>
            <w:r w:rsidRPr="00675F6C">
              <w:rPr>
                <w:rFonts w:ascii="Arial" w:eastAsia="Calibri" w:hAnsi="Arial" w:cs="Arial"/>
              </w:rPr>
              <w:t>60%</w:t>
            </w:r>
          </w:p>
        </w:tc>
      </w:tr>
      <w:tr w:rsidR="00254A39" w:rsidRPr="00675F6C" w14:paraId="1969129F" w14:textId="77777777" w:rsidTr="00296B6A">
        <w:trPr>
          <w:trHeight w:val="93"/>
          <w:jc w:val="center"/>
        </w:trPr>
        <w:tc>
          <w:tcPr>
            <w:tcW w:w="2689" w:type="dxa"/>
          </w:tcPr>
          <w:p w14:paraId="5F1E074B" w14:textId="77777777" w:rsidR="00254A39" w:rsidRPr="00675F6C" w:rsidRDefault="00254A39" w:rsidP="004215F5">
            <w:pPr>
              <w:ind w:right="277"/>
              <w:jc w:val="both"/>
              <w:rPr>
                <w:rFonts w:ascii="Arial" w:eastAsia="Calibri" w:hAnsi="Arial" w:cs="Arial"/>
              </w:rPr>
            </w:pPr>
            <w:r w:rsidRPr="00675F6C">
              <w:rPr>
                <w:rFonts w:ascii="Arial" w:eastAsia="Calibri" w:hAnsi="Arial" w:cs="Arial"/>
              </w:rPr>
              <w:t>Más de 3 y hasta 5 años</w:t>
            </w:r>
          </w:p>
        </w:tc>
        <w:tc>
          <w:tcPr>
            <w:tcW w:w="2835" w:type="dxa"/>
          </w:tcPr>
          <w:p w14:paraId="1E0AA502" w14:textId="77777777" w:rsidR="00254A39" w:rsidRPr="00675F6C" w:rsidRDefault="00254A39" w:rsidP="004215F5">
            <w:pPr>
              <w:ind w:right="277"/>
              <w:jc w:val="center"/>
              <w:rPr>
                <w:rFonts w:ascii="Arial" w:eastAsia="Calibri" w:hAnsi="Arial" w:cs="Arial"/>
              </w:rPr>
            </w:pPr>
            <w:r w:rsidRPr="00675F6C">
              <w:rPr>
                <w:rFonts w:ascii="Arial" w:eastAsia="Calibri" w:hAnsi="Arial" w:cs="Arial"/>
              </w:rPr>
              <w:t>50%</w:t>
            </w:r>
          </w:p>
        </w:tc>
      </w:tr>
    </w:tbl>
    <w:p w14:paraId="62F6E678" w14:textId="77777777" w:rsidR="00DD55F4" w:rsidRPr="00780D0F" w:rsidRDefault="00DD55F4" w:rsidP="004215F5">
      <w:pPr>
        <w:jc w:val="both"/>
        <w:rPr>
          <w:rFonts w:ascii="Arial" w:hAnsi="Arial" w:cs="Arial"/>
          <w:sz w:val="24"/>
          <w:szCs w:val="24"/>
        </w:rPr>
      </w:pPr>
    </w:p>
    <w:p w14:paraId="7CC9CA6E" w14:textId="77777777" w:rsidR="00254A39" w:rsidRPr="007816F3" w:rsidRDefault="00254A39" w:rsidP="004215F5">
      <w:pPr>
        <w:jc w:val="both"/>
        <w:rPr>
          <w:rFonts w:ascii="Arial" w:hAnsi="Arial" w:cs="Arial"/>
        </w:rPr>
      </w:pPr>
      <w:r w:rsidRPr="007816F3">
        <w:rPr>
          <w:rFonts w:ascii="Arial" w:hAnsi="Arial" w:cs="Arial"/>
        </w:rPr>
        <w:t>Procederá la reducción del 100% de las multas de más de 5 años, a petición de parte, previo pago de los “Honorarios” y en su caso los “Gastos de Ejecución” contenidos en los artículos 79 último párrafo, 166 y 167 último párrafo del Código Fiscal del Estado de Hidalgo.</w:t>
      </w:r>
    </w:p>
    <w:p w14:paraId="6467DD56" w14:textId="77777777" w:rsidR="00254A39" w:rsidRPr="007816F3" w:rsidRDefault="00254A39" w:rsidP="004215F5">
      <w:pPr>
        <w:jc w:val="both"/>
        <w:rPr>
          <w:rFonts w:ascii="Arial" w:hAnsi="Arial" w:cs="Arial"/>
        </w:rPr>
      </w:pPr>
    </w:p>
    <w:p w14:paraId="7FA32459" w14:textId="77777777" w:rsidR="00254A39" w:rsidRPr="007816F3" w:rsidRDefault="00254A39" w:rsidP="004215F5">
      <w:pPr>
        <w:jc w:val="both"/>
        <w:rPr>
          <w:rFonts w:ascii="Arial" w:hAnsi="Arial" w:cs="Arial"/>
        </w:rPr>
      </w:pPr>
      <w:r w:rsidRPr="007816F3">
        <w:rPr>
          <w:rFonts w:ascii="Arial" w:hAnsi="Arial" w:cs="Arial"/>
        </w:rPr>
        <w:t>De conformidad con lo establecido en los artículos 6 y 15 fracción XXVI del Reglamento Interior de la Secretaría de Hacienda, las autoridades fiscales facultadas para reducir multas fiscales estatales en términos del presente artículo serán las personas titulares de la Dirección General de Atención al Contribuyente, de los Centros Regionales de Hacienda y de la Dirección de Ejecución Fiscal.</w:t>
      </w:r>
    </w:p>
    <w:p w14:paraId="30B6710E" w14:textId="77777777" w:rsidR="00254A39" w:rsidRPr="007816F3" w:rsidRDefault="00254A39" w:rsidP="004215F5">
      <w:pPr>
        <w:jc w:val="both"/>
        <w:rPr>
          <w:rFonts w:ascii="Arial" w:hAnsi="Arial" w:cs="Arial"/>
        </w:rPr>
      </w:pPr>
    </w:p>
    <w:p w14:paraId="621BF057" w14:textId="77777777" w:rsidR="00254A39" w:rsidRPr="007816F3" w:rsidRDefault="00254A39" w:rsidP="004215F5">
      <w:pPr>
        <w:jc w:val="both"/>
        <w:rPr>
          <w:rFonts w:ascii="Arial" w:hAnsi="Arial" w:cs="Arial"/>
        </w:rPr>
      </w:pPr>
      <w:r w:rsidRPr="007816F3">
        <w:rPr>
          <w:rFonts w:ascii="Arial" w:hAnsi="Arial" w:cs="Arial"/>
        </w:rPr>
        <w:t>Solo procederá la reducción de multas fiscales estatales que no hayan sido impugnadas por los contribuyentes, dentro de los plazos legales que establece el Código Fiscal del Estado de Hidalgo, o que, habiendo sido impugnadas, exista desistimiento expreso.</w:t>
      </w:r>
    </w:p>
    <w:p w14:paraId="64E013AB" w14:textId="77777777" w:rsidR="00254A39" w:rsidRPr="007816F3" w:rsidRDefault="00254A39" w:rsidP="004215F5">
      <w:pPr>
        <w:jc w:val="both"/>
        <w:rPr>
          <w:rFonts w:ascii="Arial" w:hAnsi="Arial" w:cs="Arial"/>
        </w:rPr>
      </w:pPr>
    </w:p>
    <w:p w14:paraId="035F6DB4" w14:textId="77777777" w:rsidR="00254A39" w:rsidRPr="007816F3" w:rsidRDefault="00254A39" w:rsidP="004215F5">
      <w:pPr>
        <w:jc w:val="both"/>
        <w:rPr>
          <w:rFonts w:ascii="Arial" w:hAnsi="Arial" w:cs="Arial"/>
        </w:rPr>
      </w:pPr>
      <w:r w:rsidRPr="007816F3">
        <w:rPr>
          <w:rFonts w:ascii="Arial" w:hAnsi="Arial" w:cs="Arial"/>
        </w:rPr>
        <w:t>La autoridad fiscal verificará que los contribuyentes hayan cumplido con las obligaciones fiscales que originaron la imposición de las multas que se refieren en el presente artículo.</w:t>
      </w:r>
    </w:p>
    <w:p w14:paraId="7F00390D" w14:textId="77777777" w:rsidR="00254A39" w:rsidRPr="007816F3" w:rsidRDefault="00254A39" w:rsidP="004215F5">
      <w:pPr>
        <w:jc w:val="both"/>
        <w:rPr>
          <w:rFonts w:ascii="Arial" w:hAnsi="Arial" w:cs="Arial"/>
        </w:rPr>
      </w:pPr>
    </w:p>
    <w:p w14:paraId="46999D6F" w14:textId="77777777" w:rsidR="00254A39" w:rsidRPr="007816F3" w:rsidRDefault="00254A39" w:rsidP="004215F5">
      <w:pPr>
        <w:jc w:val="both"/>
        <w:rPr>
          <w:rFonts w:ascii="Arial" w:hAnsi="Arial" w:cs="Arial"/>
        </w:rPr>
      </w:pPr>
      <w:r w:rsidRPr="007816F3">
        <w:rPr>
          <w:rFonts w:ascii="Arial" w:hAnsi="Arial" w:cs="Arial"/>
        </w:rPr>
        <w:t>El monto de las multas que no haya sido reducido por las autoridades fiscales en los términos del presente, deberá pagarse en una sola exhibición y actualizado en términos del artículo 35 del Código Fiscal del Estado de Hidalgo.</w:t>
      </w:r>
    </w:p>
    <w:p w14:paraId="0E3992F4" w14:textId="77777777" w:rsidR="00254A39" w:rsidRPr="007816F3" w:rsidRDefault="00254A39" w:rsidP="004215F5">
      <w:pPr>
        <w:jc w:val="both"/>
        <w:rPr>
          <w:rFonts w:ascii="Arial" w:hAnsi="Arial" w:cs="Arial"/>
        </w:rPr>
      </w:pPr>
    </w:p>
    <w:p w14:paraId="51C75622" w14:textId="77777777" w:rsidR="00254A39" w:rsidRPr="007816F3" w:rsidRDefault="00254A39" w:rsidP="004215F5">
      <w:pPr>
        <w:jc w:val="both"/>
        <w:rPr>
          <w:rFonts w:ascii="Arial" w:hAnsi="Arial" w:cs="Arial"/>
        </w:rPr>
      </w:pPr>
      <w:r w:rsidRPr="007816F3">
        <w:rPr>
          <w:rFonts w:ascii="Arial" w:hAnsi="Arial" w:cs="Arial"/>
        </w:rPr>
        <w:t>Para aplicar los estímulos fiscales contenidos en el presente artículo, no será necesario que las autoridades fiscales estatales reciban y emitan documentación alguna.</w:t>
      </w:r>
    </w:p>
    <w:p w14:paraId="674038BB" w14:textId="77777777" w:rsidR="00254A39" w:rsidRPr="007816F3" w:rsidRDefault="00254A39" w:rsidP="004215F5">
      <w:pPr>
        <w:jc w:val="both"/>
        <w:rPr>
          <w:rFonts w:ascii="Arial" w:hAnsi="Arial" w:cs="Arial"/>
        </w:rPr>
      </w:pPr>
    </w:p>
    <w:p w14:paraId="5F58F853" w14:textId="77777777" w:rsidR="00254A39" w:rsidRPr="007816F3" w:rsidRDefault="00254A39" w:rsidP="004215F5">
      <w:pPr>
        <w:jc w:val="both"/>
        <w:rPr>
          <w:rFonts w:ascii="Arial" w:hAnsi="Arial" w:cs="Arial"/>
        </w:rPr>
      </w:pPr>
    </w:p>
    <w:p w14:paraId="25CD4ABB" w14:textId="77777777" w:rsidR="00254A39" w:rsidRPr="007816F3" w:rsidRDefault="00254A39" w:rsidP="004215F5">
      <w:pPr>
        <w:jc w:val="center"/>
        <w:rPr>
          <w:rFonts w:ascii="Arial" w:hAnsi="Arial" w:cs="Arial"/>
          <w:b/>
          <w:bCs/>
        </w:rPr>
      </w:pPr>
      <w:r w:rsidRPr="007816F3">
        <w:rPr>
          <w:rFonts w:ascii="Arial" w:hAnsi="Arial" w:cs="Arial"/>
          <w:b/>
          <w:bCs/>
        </w:rPr>
        <w:t>SECCIÓN VI</w:t>
      </w:r>
    </w:p>
    <w:p w14:paraId="4FB8B7E2" w14:textId="77777777" w:rsidR="00254A39" w:rsidRPr="007816F3" w:rsidRDefault="00254A39" w:rsidP="004215F5">
      <w:pPr>
        <w:jc w:val="center"/>
        <w:rPr>
          <w:rFonts w:ascii="Arial" w:hAnsi="Arial" w:cs="Arial"/>
          <w:b/>
          <w:bCs/>
        </w:rPr>
      </w:pPr>
      <w:r w:rsidRPr="007816F3">
        <w:rPr>
          <w:rFonts w:ascii="Arial" w:hAnsi="Arial" w:cs="Arial"/>
          <w:b/>
          <w:bCs/>
        </w:rPr>
        <w:t>COMISIÓN DE AGUA Y ALCANTARILLADO DE SISTEMAS INTERMUNICIPALES</w:t>
      </w:r>
    </w:p>
    <w:p w14:paraId="7C732BAB" w14:textId="77777777" w:rsidR="00254A39" w:rsidRPr="007816F3" w:rsidRDefault="00254A39" w:rsidP="004215F5">
      <w:pPr>
        <w:jc w:val="both"/>
        <w:rPr>
          <w:rFonts w:ascii="Arial" w:hAnsi="Arial" w:cs="Arial"/>
        </w:rPr>
      </w:pPr>
    </w:p>
    <w:p w14:paraId="695F45C4" w14:textId="77777777" w:rsidR="00254A39" w:rsidRPr="007816F3" w:rsidRDefault="00254A39" w:rsidP="004215F5">
      <w:pPr>
        <w:jc w:val="both"/>
        <w:rPr>
          <w:rFonts w:ascii="Arial" w:hAnsi="Arial" w:cs="Arial"/>
        </w:rPr>
      </w:pPr>
      <w:r w:rsidRPr="007816F3">
        <w:rPr>
          <w:rFonts w:ascii="Arial" w:hAnsi="Arial" w:cs="Arial"/>
          <w:b/>
          <w:bCs/>
        </w:rPr>
        <w:t>Artículo 16.</w:t>
      </w:r>
      <w:r w:rsidRPr="007816F3">
        <w:rPr>
          <w:rFonts w:ascii="Arial" w:hAnsi="Arial" w:cs="Arial"/>
        </w:rPr>
        <w:t xml:space="preserve"> En materia de Derechos, la Comisión de Agua y Alcantarillado de Sistemas Intermunicipales, aplica la indexación mensual en las cuotas de consumo de agua doméstico, comercial, industrial, escuelas y organismos oficiales, en apego al artículo 139 de la Ley de Agua y Alcantarillado del Estado de Hidalgo, en cuya fórmula intervienen el Índice Nacional de Precios al Consumidor, la tarifa de energía eléctrica de la CFE y el Salario Mínimo Vigente, aclarando que desde el Ejercicio Fiscal 2019, se aplica la Unidad de Medida y Actualización (UMA).</w:t>
      </w:r>
    </w:p>
    <w:p w14:paraId="070459C8" w14:textId="77777777" w:rsidR="00254A39" w:rsidRPr="007816F3" w:rsidRDefault="00254A39" w:rsidP="004215F5">
      <w:pPr>
        <w:jc w:val="both"/>
        <w:rPr>
          <w:rFonts w:ascii="Arial" w:hAnsi="Arial" w:cs="Arial"/>
        </w:rPr>
      </w:pPr>
    </w:p>
    <w:p w14:paraId="4CF4FE82" w14:textId="77777777" w:rsidR="00254A39" w:rsidRPr="007816F3" w:rsidRDefault="00254A39" w:rsidP="004215F5">
      <w:pPr>
        <w:jc w:val="both"/>
        <w:rPr>
          <w:rFonts w:ascii="Arial" w:hAnsi="Arial" w:cs="Arial"/>
        </w:rPr>
      </w:pPr>
      <w:r w:rsidRPr="007816F3">
        <w:rPr>
          <w:rFonts w:ascii="Arial" w:hAnsi="Arial" w:cs="Arial"/>
        </w:rPr>
        <w:t>Para el Ejercicio Fiscal 2025, debido al entorno económico internacional y nacional, se prevé un alza a la UMA, por lo que dicho Organismo limitará a un 4.5% el incremento máximo prorrateado durante el Ejercicio Fiscal.</w:t>
      </w:r>
    </w:p>
    <w:p w14:paraId="6DD4AB8C" w14:textId="77777777" w:rsidR="00254A39" w:rsidRPr="007816F3" w:rsidRDefault="00254A39" w:rsidP="004215F5">
      <w:pPr>
        <w:jc w:val="both"/>
        <w:rPr>
          <w:rFonts w:ascii="Arial" w:hAnsi="Arial" w:cs="Arial"/>
        </w:rPr>
      </w:pPr>
    </w:p>
    <w:p w14:paraId="12C61066" w14:textId="77777777" w:rsidR="00254A39" w:rsidRPr="007816F3" w:rsidRDefault="00254A39" w:rsidP="004215F5">
      <w:pPr>
        <w:jc w:val="both"/>
        <w:rPr>
          <w:rFonts w:ascii="Arial" w:hAnsi="Arial" w:cs="Arial"/>
        </w:rPr>
      </w:pPr>
      <w:r w:rsidRPr="007816F3">
        <w:rPr>
          <w:rFonts w:ascii="Arial" w:hAnsi="Arial" w:cs="Arial"/>
        </w:rPr>
        <w:t xml:space="preserve">Se otorgarán descuentos en el pago de agua en el concepto de consumo doméstico, por una sola ocasión, a aquellos usuarios del servicio de agua y alcantarillado que estén al corriente en el pago de los conceptos considerados en el Capítulo Segundo, Sección I de la presente Ley.  </w:t>
      </w:r>
    </w:p>
    <w:p w14:paraId="536FDA51" w14:textId="77777777" w:rsidR="00254A39" w:rsidRPr="007816F3" w:rsidRDefault="00254A39" w:rsidP="004215F5">
      <w:pPr>
        <w:jc w:val="both"/>
        <w:rPr>
          <w:rFonts w:ascii="Arial" w:hAnsi="Arial" w:cs="Arial"/>
        </w:rPr>
      </w:pPr>
    </w:p>
    <w:p w14:paraId="05173749" w14:textId="77777777" w:rsidR="00254A39" w:rsidRPr="007816F3" w:rsidRDefault="00254A39" w:rsidP="004215F5">
      <w:pPr>
        <w:jc w:val="both"/>
        <w:rPr>
          <w:rFonts w:ascii="Arial" w:hAnsi="Arial" w:cs="Arial"/>
        </w:rPr>
      </w:pPr>
      <w:r w:rsidRPr="007816F3">
        <w:rPr>
          <w:rFonts w:ascii="Arial" w:hAnsi="Arial" w:cs="Arial"/>
        </w:rPr>
        <w:t xml:space="preserve">En el caso de la generación de programas de apoyo a sectores vulnerables, por recuperación de cartera vencida, lo recaudado será destinado preferentemente al fortalecimiento de la infraestructura del Organismo.   </w:t>
      </w:r>
    </w:p>
    <w:p w14:paraId="66B0A789" w14:textId="77777777" w:rsidR="00254A39" w:rsidRPr="007816F3" w:rsidRDefault="00254A39" w:rsidP="004215F5">
      <w:pPr>
        <w:jc w:val="both"/>
        <w:rPr>
          <w:rFonts w:ascii="Arial" w:hAnsi="Arial" w:cs="Arial"/>
        </w:rPr>
      </w:pPr>
    </w:p>
    <w:p w14:paraId="42D177C6" w14:textId="77777777" w:rsidR="00254A39" w:rsidRPr="007816F3" w:rsidRDefault="00254A39" w:rsidP="004215F5">
      <w:pPr>
        <w:jc w:val="both"/>
        <w:rPr>
          <w:rFonts w:ascii="Arial" w:hAnsi="Arial" w:cs="Arial"/>
        </w:rPr>
      </w:pPr>
    </w:p>
    <w:p w14:paraId="22181F91" w14:textId="77777777" w:rsidR="00254A39" w:rsidRPr="007816F3" w:rsidRDefault="00254A39" w:rsidP="004215F5">
      <w:pPr>
        <w:jc w:val="center"/>
        <w:rPr>
          <w:rFonts w:ascii="Arial" w:hAnsi="Arial" w:cs="Arial"/>
          <w:b/>
          <w:bCs/>
        </w:rPr>
      </w:pPr>
      <w:r w:rsidRPr="007816F3">
        <w:rPr>
          <w:rFonts w:ascii="Arial" w:hAnsi="Arial" w:cs="Arial"/>
          <w:b/>
          <w:bCs/>
        </w:rPr>
        <w:t>SECCIÓN VII</w:t>
      </w:r>
    </w:p>
    <w:p w14:paraId="127FCDA1" w14:textId="733B6F7A" w:rsidR="00254A39" w:rsidRPr="007816F3" w:rsidRDefault="00254A39" w:rsidP="004215F5">
      <w:pPr>
        <w:jc w:val="center"/>
        <w:rPr>
          <w:rFonts w:ascii="Arial" w:hAnsi="Arial" w:cs="Arial"/>
          <w:b/>
          <w:bCs/>
        </w:rPr>
      </w:pPr>
      <w:r w:rsidRPr="007816F3">
        <w:rPr>
          <w:rFonts w:ascii="Arial" w:hAnsi="Arial" w:cs="Arial"/>
          <w:b/>
          <w:bCs/>
        </w:rPr>
        <w:t>DEL SISTEMA INTEGRADO DE TRANSPORTE MASIVO DE HIDALGO</w:t>
      </w:r>
    </w:p>
    <w:p w14:paraId="4C0045B2" w14:textId="77777777" w:rsidR="00254A39" w:rsidRPr="007816F3" w:rsidRDefault="00254A39" w:rsidP="004215F5">
      <w:pPr>
        <w:jc w:val="both"/>
        <w:rPr>
          <w:rFonts w:ascii="Arial" w:hAnsi="Arial" w:cs="Arial"/>
        </w:rPr>
      </w:pPr>
    </w:p>
    <w:p w14:paraId="317E366A" w14:textId="77777777" w:rsidR="00254A39" w:rsidRPr="007816F3" w:rsidRDefault="00254A39" w:rsidP="004215F5">
      <w:pPr>
        <w:jc w:val="both"/>
        <w:rPr>
          <w:rFonts w:ascii="Arial" w:hAnsi="Arial" w:cs="Arial"/>
        </w:rPr>
      </w:pPr>
      <w:r w:rsidRPr="007816F3">
        <w:rPr>
          <w:rFonts w:ascii="Arial" w:hAnsi="Arial" w:cs="Arial"/>
          <w:b/>
          <w:bCs/>
        </w:rPr>
        <w:t>Artículo 17.</w:t>
      </w:r>
      <w:r w:rsidRPr="007816F3">
        <w:rPr>
          <w:rFonts w:ascii="Arial" w:hAnsi="Arial" w:cs="Arial"/>
        </w:rPr>
        <w:t xml:space="preserve"> Con relación al Decreto que aprueba las Cuotas y Tarifas del Organismo Público Descentralizado de la Administración Pública Estatal denominado “Sistema Integrado de Transporte </w:t>
      </w:r>
      <w:r w:rsidRPr="007816F3">
        <w:rPr>
          <w:rFonts w:ascii="Arial" w:hAnsi="Arial" w:cs="Arial"/>
        </w:rPr>
        <w:lastRenderedPageBreak/>
        <w:t>Masivo de Hidalgo”, para el Ejercicio Fiscal 2025, se aplicará el valor de las (</w:t>
      </w:r>
      <w:proofErr w:type="spellStart"/>
      <w:r w:rsidRPr="007816F3">
        <w:rPr>
          <w:rFonts w:ascii="Arial" w:hAnsi="Arial" w:cs="Arial"/>
        </w:rPr>
        <w:t>UMAS</w:t>
      </w:r>
      <w:proofErr w:type="spellEnd"/>
      <w:r w:rsidRPr="007816F3">
        <w:rPr>
          <w:rFonts w:ascii="Arial" w:hAnsi="Arial" w:cs="Arial"/>
        </w:rPr>
        <w:t>) previsto en el Séptimo Transitorio de la presente Ley.</w:t>
      </w:r>
    </w:p>
    <w:p w14:paraId="51FA50C1" w14:textId="77777777" w:rsidR="00254A39" w:rsidRPr="007816F3" w:rsidRDefault="00254A39" w:rsidP="004215F5">
      <w:pPr>
        <w:jc w:val="both"/>
        <w:rPr>
          <w:rFonts w:ascii="Arial" w:hAnsi="Arial" w:cs="Arial"/>
        </w:rPr>
      </w:pPr>
    </w:p>
    <w:p w14:paraId="2CA0C344" w14:textId="77777777" w:rsidR="00254A39" w:rsidRPr="007816F3" w:rsidRDefault="00254A39" w:rsidP="004215F5">
      <w:pPr>
        <w:jc w:val="both"/>
        <w:rPr>
          <w:rFonts w:ascii="Arial" w:hAnsi="Arial" w:cs="Arial"/>
        </w:rPr>
      </w:pPr>
    </w:p>
    <w:p w14:paraId="0AF8EA90" w14:textId="77777777" w:rsidR="00254A39" w:rsidRPr="007816F3" w:rsidRDefault="00254A39" w:rsidP="004215F5">
      <w:pPr>
        <w:jc w:val="center"/>
        <w:rPr>
          <w:rFonts w:ascii="Arial" w:hAnsi="Arial" w:cs="Arial"/>
          <w:b/>
          <w:bCs/>
        </w:rPr>
      </w:pPr>
      <w:r w:rsidRPr="007816F3">
        <w:rPr>
          <w:rFonts w:ascii="Arial" w:hAnsi="Arial" w:cs="Arial"/>
          <w:b/>
          <w:bCs/>
        </w:rPr>
        <w:t>SECCIÓN VIII</w:t>
      </w:r>
    </w:p>
    <w:p w14:paraId="0A4B3FC0" w14:textId="77777777" w:rsidR="00254A39" w:rsidRPr="007816F3" w:rsidRDefault="00254A39" w:rsidP="004215F5">
      <w:pPr>
        <w:jc w:val="center"/>
        <w:rPr>
          <w:rFonts w:ascii="Arial" w:hAnsi="Arial" w:cs="Arial"/>
          <w:b/>
          <w:bCs/>
        </w:rPr>
      </w:pPr>
      <w:r w:rsidRPr="007816F3">
        <w:rPr>
          <w:rFonts w:ascii="Arial" w:hAnsi="Arial" w:cs="Arial"/>
          <w:b/>
          <w:bCs/>
        </w:rPr>
        <w:t>DEL SISTEMA DE TRANSPORTE CONVENCIONAL DE HIDALGO</w:t>
      </w:r>
    </w:p>
    <w:p w14:paraId="03D96D63" w14:textId="77777777" w:rsidR="00254A39" w:rsidRPr="007816F3" w:rsidRDefault="00254A39" w:rsidP="004215F5">
      <w:pPr>
        <w:jc w:val="both"/>
        <w:rPr>
          <w:rFonts w:ascii="Arial" w:hAnsi="Arial" w:cs="Arial"/>
        </w:rPr>
      </w:pPr>
    </w:p>
    <w:p w14:paraId="47463120" w14:textId="77777777" w:rsidR="00254A39" w:rsidRPr="007816F3" w:rsidRDefault="00254A39" w:rsidP="004215F5">
      <w:pPr>
        <w:jc w:val="both"/>
        <w:rPr>
          <w:rFonts w:ascii="Arial" w:hAnsi="Arial" w:cs="Arial"/>
        </w:rPr>
      </w:pPr>
      <w:r w:rsidRPr="007816F3">
        <w:rPr>
          <w:rFonts w:ascii="Arial" w:hAnsi="Arial" w:cs="Arial"/>
          <w:b/>
          <w:bCs/>
        </w:rPr>
        <w:t>Artículo 18.</w:t>
      </w:r>
      <w:r w:rsidRPr="007816F3">
        <w:rPr>
          <w:rFonts w:ascii="Arial" w:hAnsi="Arial" w:cs="Arial"/>
        </w:rPr>
        <w:t xml:space="preserve">  Se otorgan los estímulos fiscales, con una vigencia del 6 de enero al 19 de diciembre del 2025, para las y los operadores de transporte público en la obtención y renovación del tarjetón, con relación al Decreto que aprueba las Cuotas y Tarifas del Organismo Público Descentralizado de la Administración Pública Estatal denominado “Sistema de Transporte Convencional de Hidalgo”, que estará vigente para el Ejercicio Fiscal 2025, de acuerdo a las siguientes consideraciones:</w:t>
      </w:r>
    </w:p>
    <w:p w14:paraId="6AD7815F" w14:textId="77777777" w:rsidR="00254A39" w:rsidRPr="007816F3" w:rsidRDefault="00254A39" w:rsidP="004215F5">
      <w:pPr>
        <w:jc w:val="both"/>
        <w:rPr>
          <w:rFonts w:ascii="Arial" w:hAnsi="Arial" w:cs="Arial"/>
        </w:rPr>
      </w:pPr>
      <w:r w:rsidRPr="007816F3">
        <w:rPr>
          <w:rFonts w:ascii="Arial" w:hAnsi="Arial" w:cs="Arial"/>
        </w:rPr>
        <w:t xml:space="preserve"> </w:t>
      </w:r>
    </w:p>
    <w:p w14:paraId="688B172A" w14:textId="150FA477" w:rsidR="00254A39" w:rsidRPr="007816F3" w:rsidRDefault="00254A39" w:rsidP="004215F5">
      <w:pPr>
        <w:jc w:val="both"/>
        <w:rPr>
          <w:rFonts w:ascii="Arial" w:hAnsi="Arial" w:cs="Arial"/>
        </w:rPr>
      </w:pPr>
      <w:r w:rsidRPr="007816F3">
        <w:rPr>
          <w:rFonts w:ascii="Arial" w:hAnsi="Arial" w:cs="Arial"/>
          <w:b/>
          <w:bCs/>
        </w:rPr>
        <w:t>I.</w:t>
      </w:r>
      <w:r w:rsidRPr="007816F3">
        <w:rPr>
          <w:rFonts w:ascii="Arial" w:hAnsi="Arial" w:cs="Arial"/>
        </w:rPr>
        <w:t xml:space="preserve"> Se otorgará una reducción del 50% en los conceptos de “Por expedición del tarjetón de operador del transporte público con vigencia de dos años” y “Por expedición del tarjetón de operador del transporte público con vigencia de tres años”, para las mujeres operadoras de transporte, previa acreditación de la “Capacitación Integral dirigida a Mujeres Operadoras del Transporte Público”.</w:t>
      </w:r>
    </w:p>
    <w:p w14:paraId="3B0497A0" w14:textId="77777777" w:rsidR="00254A39" w:rsidRPr="007816F3" w:rsidRDefault="00254A39" w:rsidP="004215F5">
      <w:pPr>
        <w:jc w:val="both"/>
        <w:rPr>
          <w:rFonts w:ascii="Arial" w:hAnsi="Arial" w:cs="Arial"/>
        </w:rPr>
      </w:pPr>
    </w:p>
    <w:p w14:paraId="3A39A825" w14:textId="74434E31" w:rsidR="00254A39" w:rsidRPr="007816F3" w:rsidRDefault="00254A39" w:rsidP="004215F5">
      <w:pPr>
        <w:jc w:val="both"/>
        <w:rPr>
          <w:rFonts w:ascii="Arial" w:hAnsi="Arial" w:cs="Arial"/>
        </w:rPr>
      </w:pPr>
      <w:r w:rsidRPr="007816F3">
        <w:rPr>
          <w:rFonts w:ascii="Arial" w:hAnsi="Arial" w:cs="Arial"/>
          <w:b/>
          <w:bCs/>
        </w:rPr>
        <w:t>II.</w:t>
      </w:r>
      <w:r w:rsidRPr="007816F3">
        <w:rPr>
          <w:rFonts w:ascii="Arial" w:hAnsi="Arial" w:cs="Arial"/>
        </w:rPr>
        <w:t xml:space="preserve"> Se otorgará una reducción del 50% en los conceptos de “Renovación de tarjetón con vigencia de dos años” y “Renovación de tarjetón con vigencia de tres años”, para las mujeres operadoras de transporte público.</w:t>
      </w:r>
    </w:p>
    <w:p w14:paraId="50F4772C" w14:textId="77777777" w:rsidR="00254A39" w:rsidRPr="007816F3" w:rsidRDefault="00254A39" w:rsidP="004215F5">
      <w:pPr>
        <w:jc w:val="both"/>
        <w:rPr>
          <w:rFonts w:ascii="Arial" w:hAnsi="Arial" w:cs="Arial"/>
        </w:rPr>
      </w:pPr>
    </w:p>
    <w:p w14:paraId="4D8CA3C2" w14:textId="1F658B57" w:rsidR="00254A39" w:rsidRPr="007816F3" w:rsidRDefault="00254A39" w:rsidP="004215F5">
      <w:pPr>
        <w:jc w:val="both"/>
        <w:rPr>
          <w:rFonts w:ascii="Arial" w:hAnsi="Arial" w:cs="Arial"/>
        </w:rPr>
      </w:pPr>
      <w:r w:rsidRPr="007816F3">
        <w:rPr>
          <w:rFonts w:ascii="Arial" w:hAnsi="Arial" w:cs="Arial"/>
          <w:b/>
          <w:bCs/>
        </w:rPr>
        <w:t>III.</w:t>
      </w:r>
      <w:r w:rsidRPr="007816F3">
        <w:rPr>
          <w:rFonts w:ascii="Arial" w:hAnsi="Arial" w:cs="Arial"/>
        </w:rPr>
        <w:t xml:space="preserve"> Se otorgará una reducción del 50% en los conceptos de “Renovación de tarjetón con vigencia de dos años” y “Renovación de tarjetón con vigencia de tres años”, para los operadores que se encuentren al corriente en el pago de dichos conceptos al momento de su renovación, sin que este beneficio sea acumulable con otro descuento.</w:t>
      </w:r>
    </w:p>
    <w:p w14:paraId="27731BF9" w14:textId="77777777" w:rsidR="00254A39" w:rsidRPr="007816F3" w:rsidRDefault="00254A39" w:rsidP="004215F5">
      <w:pPr>
        <w:jc w:val="both"/>
        <w:rPr>
          <w:rFonts w:ascii="Arial" w:hAnsi="Arial" w:cs="Arial"/>
        </w:rPr>
      </w:pPr>
    </w:p>
    <w:p w14:paraId="0604F8C7" w14:textId="1B6305B0" w:rsidR="00254A39" w:rsidRPr="007816F3" w:rsidRDefault="00254A39" w:rsidP="004215F5">
      <w:pPr>
        <w:jc w:val="both"/>
        <w:rPr>
          <w:rFonts w:ascii="Arial" w:hAnsi="Arial" w:cs="Arial"/>
        </w:rPr>
      </w:pPr>
      <w:r w:rsidRPr="007816F3">
        <w:rPr>
          <w:rFonts w:ascii="Arial" w:hAnsi="Arial" w:cs="Arial"/>
          <w:b/>
          <w:bCs/>
        </w:rPr>
        <w:t>IV.</w:t>
      </w:r>
      <w:r w:rsidRPr="007816F3">
        <w:rPr>
          <w:rFonts w:ascii="Arial" w:hAnsi="Arial" w:cs="Arial"/>
        </w:rPr>
        <w:t xml:space="preserve"> Se otorgará una reducción del 50% en los conceptos de “Por expedición del tarjetón de operador del transporte público con vigencia de dos años” y “Por expedición del tarjetón de operador del transporte público con vigencia de tres años”, para las personas operadoras de transporte, que se acrediten como “Adultos Mayores”, sin que este beneficio sea acumulable con otro descuento.</w:t>
      </w:r>
    </w:p>
    <w:p w14:paraId="07C88B31" w14:textId="77777777" w:rsidR="00254A39" w:rsidRPr="007816F3" w:rsidRDefault="00254A39" w:rsidP="004215F5">
      <w:pPr>
        <w:jc w:val="both"/>
        <w:rPr>
          <w:rFonts w:ascii="Arial" w:hAnsi="Arial" w:cs="Arial"/>
        </w:rPr>
      </w:pPr>
    </w:p>
    <w:p w14:paraId="33908050" w14:textId="1DCC8E72" w:rsidR="00254A39" w:rsidRPr="007816F3" w:rsidRDefault="00254A39" w:rsidP="004215F5">
      <w:pPr>
        <w:jc w:val="both"/>
        <w:rPr>
          <w:rFonts w:ascii="Arial" w:hAnsi="Arial" w:cs="Arial"/>
        </w:rPr>
      </w:pPr>
      <w:r w:rsidRPr="007816F3">
        <w:rPr>
          <w:rFonts w:ascii="Arial" w:hAnsi="Arial" w:cs="Arial"/>
          <w:b/>
          <w:bCs/>
        </w:rPr>
        <w:t>V.</w:t>
      </w:r>
      <w:r w:rsidRPr="007816F3">
        <w:rPr>
          <w:rFonts w:ascii="Arial" w:hAnsi="Arial" w:cs="Arial"/>
        </w:rPr>
        <w:t xml:space="preserve"> Se otorgará una reducción del 50% en los conceptos de “Por expedición del tarjetón de operador del transporte público con vigencia de dos años” y “Por expedición del tarjetón de operador del transporte público con vigencia de tres años”, para las personas operadoras de transporte, que se acrediten como “Personas con Discapacidad”, sin que este beneficio sea acumulable con otro descuento.</w:t>
      </w:r>
    </w:p>
    <w:p w14:paraId="499748AA" w14:textId="77777777" w:rsidR="00254A39" w:rsidRPr="007816F3" w:rsidRDefault="00254A39" w:rsidP="004215F5">
      <w:pPr>
        <w:jc w:val="both"/>
        <w:rPr>
          <w:rFonts w:ascii="Arial" w:hAnsi="Arial" w:cs="Arial"/>
        </w:rPr>
      </w:pPr>
    </w:p>
    <w:p w14:paraId="4BCB8629" w14:textId="77777777" w:rsidR="00254A39" w:rsidRPr="007816F3" w:rsidRDefault="00254A39" w:rsidP="004215F5">
      <w:pPr>
        <w:jc w:val="both"/>
        <w:rPr>
          <w:rFonts w:ascii="Arial" w:hAnsi="Arial" w:cs="Arial"/>
        </w:rPr>
      </w:pPr>
      <w:r w:rsidRPr="007816F3">
        <w:rPr>
          <w:rFonts w:ascii="Arial" w:hAnsi="Arial" w:cs="Arial"/>
        </w:rPr>
        <w:t>Los estímulos fiscales del Sistema de Transporte Convencional de Hidalgo establecidos en los párrafos que anteceden se encuentran sujetos a los Lineamientos de Operación que para tal efecto se publiquen.</w:t>
      </w:r>
    </w:p>
    <w:p w14:paraId="59E6BC05" w14:textId="77777777" w:rsidR="00254A39" w:rsidRPr="007816F3" w:rsidRDefault="00254A39" w:rsidP="004215F5">
      <w:pPr>
        <w:jc w:val="both"/>
        <w:rPr>
          <w:rFonts w:ascii="Arial" w:hAnsi="Arial" w:cs="Arial"/>
        </w:rPr>
      </w:pPr>
    </w:p>
    <w:p w14:paraId="03C7DF97" w14:textId="77777777" w:rsidR="00254A39" w:rsidRPr="007816F3" w:rsidRDefault="00254A39" w:rsidP="004215F5">
      <w:pPr>
        <w:jc w:val="both"/>
        <w:rPr>
          <w:rFonts w:ascii="Arial" w:hAnsi="Arial" w:cs="Arial"/>
        </w:rPr>
      </w:pPr>
      <w:r w:rsidRPr="007816F3">
        <w:rPr>
          <w:rFonts w:ascii="Arial" w:hAnsi="Arial" w:cs="Arial"/>
          <w:b/>
          <w:bCs/>
        </w:rPr>
        <w:t>Artículo 19.</w:t>
      </w:r>
      <w:r w:rsidRPr="007816F3">
        <w:rPr>
          <w:rFonts w:ascii="Arial" w:hAnsi="Arial" w:cs="Arial"/>
        </w:rPr>
        <w:t xml:space="preserve"> Con relación al Decreto que aprueba las Cuotas y Tarifas del Organismo Público Descentralizado de la Administración Pública Estatal denominado “Sistema de Transporte Convencional de Hidalgo”, que estará vigente para el Ejercicio Fiscal 2025, se aplicará el valor de las (</w:t>
      </w:r>
      <w:proofErr w:type="spellStart"/>
      <w:r w:rsidRPr="007816F3">
        <w:rPr>
          <w:rFonts w:ascii="Arial" w:hAnsi="Arial" w:cs="Arial"/>
        </w:rPr>
        <w:t>UMAS</w:t>
      </w:r>
      <w:proofErr w:type="spellEnd"/>
      <w:r w:rsidRPr="007816F3">
        <w:rPr>
          <w:rFonts w:ascii="Arial" w:hAnsi="Arial" w:cs="Arial"/>
        </w:rPr>
        <w:t>) previsto en el Séptimo Transitorio de la presente Ley.</w:t>
      </w:r>
    </w:p>
    <w:p w14:paraId="25D95A2E" w14:textId="77777777" w:rsidR="00254A39" w:rsidRPr="007816F3" w:rsidRDefault="00254A39" w:rsidP="004215F5">
      <w:pPr>
        <w:jc w:val="both"/>
        <w:rPr>
          <w:rFonts w:ascii="Arial" w:hAnsi="Arial" w:cs="Arial"/>
        </w:rPr>
      </w:pPr>
    </w:p>
    <w:p w14:paraId="1E6564A4" w14:textId="77777777" w:rsidR="00254A39" w:rsidRPr="007816F3" w:rsidRDefault="00254A39" w:rsidP="004215F5">
      <w:pPr>
        <w:jc w:val="both"/>
        <w:rPr>
          <w:rFonts w:ascii="Arial" w:hAnsi="Arial" w:cs="Arial"/>
        </w:rPr>
      </w:pPr>
    </w:p>
    <w:p w14:paraId="32D29775" w14:textId="62ED7559" w:rsidR="00254A39" w:rsidRPr="007816F3" w:rsidRDefault="00254A39" w:rsidP="004215F5">
      <w:pPr>
        <w:jc w:val="center"/>
        <w:rPr>
          <w:rFonts w:ascii="Arial" w:hAnsi="Arial" w:cs="Arial"/>
          <w:b/>
          <w:bCs/>
          <w:lang w:val="pt-PT"/>
        </w:rPr>
      </w:pPr>
      <w:r w:rsidRPr="007816F3">
        <w:rPr>
          <w:rFonts w:ascii="Arial" w:hAnsi="Arial" w:cs="Arial"/>
          <w:b/>
          <w:bCs/>
          <w:lang w:val="pt-PT"/>
        </w:rPr>
        <w:t>T R A N S I T O R I O S</w:t>
      </w:r>
    </w:p>
    <w:p w14:paraId="54093FF7" w14:textId="77777777" w:rsidR="00254A39" w:rsidRPr="007816F3" w:rsidRDefault="00254A39" w:rsidP="004215F5">
      <w:pPr>
        <w:jc w:val="both"/>
        <w:rPr>
          <w:rFonts w:ascii="Arial" w:hAnsi="Arial" w:cs="Arial"/>
          <w:lang w:val="pt-PT"/>
        </w:rPr>
      </w:pPr>
    </w:p>
    <w:p w14:paraId="01E7C61E" w14:textId="77777777" w:rsidR="00254A39" w:rsidRPr="007816F3" w:rsidRDefault="00254A39" w:rsidP="004215F5">
      <w:pPr>
        <w:jc w:val="both"/>
        <w:rPr>
          <w:rFonts w:ascii="Arial" w:hAnsi="Arial" w:cs="Arial"/>
        </w:rPr>
      </w:pPr>
      <w:r w:rsidRPr="007816F3">
        <w:rPr>
          <w:rFonts w:ascii="Arial" w:hAnsi="Arial" w:cs="Arial"/>
          <w:b/>
          <w:bCs/>
        </w:rPr>
        <w:t>PRIMERO.</w:t>
      </w:r>
      <w:r w:rsidRPr="007816F3">
        <w:rPr>
          <w:rFonts w:ascii="Arial" w:hAnsi="Arial" w:cs="Arial"/>
        </w:rPr>
        <w:t xml:space="preserve"> El presente Decreto deberá publicarse en el Periódico Oficial del Estado de Hidalgo y entrará en vigor el día primero de enero del año 2025.</w:t>
      </w:r>
    </w:p>
    <w:p w14:paraId="33A82924" w14:textId="77777777" w:rsidR="00254A39" w:rsidRPr="007816F3" w:rsidRDefault="00254A39" w:rsidP="004215F5">
      <w:pPr>
        <w:jc w:val="both"/>
        <w:rPr>
          <w:rFonts w:ascii="Arial" w:hAnsi="Arial" w:cs="Arial"/>
        </w:rPr>
      </w:pPr>
    </w:p>
    <w:p w14:paraId="553F256B" w14:textId="77777777" w:rsidR="00254A39" w:rsidRDefault="00254A39" w:rsidP="004215F5">
      <w:pPr>
        <w:jc w:val="both"/>
        <w:rPr>
          <w:rFonts w:ascii="Arial" w:hAnsi="Arial" w:cs="Arial"/>
        </w:rPr>
      </w:pPr>
      <w:r w:rsidRPr="007816F3">
        <w:rPr>
          <w:rFonts w:ascii="Arial" w:hAnsi="Arial" w:cs="Arial"/>
          <w:b/>
          <w:bCs/>
        </w:rPr>
        <w:t>SEGUNDO.</w:t>
      </w:r>
      <w:r w:rsidRPr="007816F3">
        <w:rPr>
          <w:rFonts w:ascii="Arial" w:hAnsi="Arial" w:cs="Arial"/>
        </w:rPr>
        <w:t xml:space="preserve"> Se derogan todas las disposiciones que se opongan a la presente Ley.</w:t>
      </w:r>
    </w:p>
    <w:p w14:paraId="06B0E66D" w14:textId="77777777" w:rsidR="00A34F46" w:rsidRPr="007816F3" w:rsidRDefault="00A34F46" w:rsidP="004215F5">
      <w:pPr>
        <w:jc w:val="both"/>
        <w:rPr>
          <w:rFonts w:ascii="Arial" w:hAnsi="Arial" w:cs="Arial"/>
        </w:rPr>
      </w:pPr>
    </w:p>
    <w:p w14:paraId="6633FD7E" w14:textId="77777777" w:rsidR="00254A39" w:rsidRPr="007816F3" w:rsidRDefault="00254A39" w:rsidP="004215F5">
      <w:pPr>
        <w:jc w:val="both"/>
        <w:rPr>
          <w:rFonts w:ascii="Arial" w:hAnsi="Arial" w:cs="Arial"/>
        </w:rPr>
      </w:pPr>
      <w:r w:rsidRPr="007816F3">
        <w:rPr>
          <w:rFonts w:ascii="Arial" w:hAnsi="Arial" w:cs="Arial"/>
          <w:b/>
          <w:bCs/>
        </w:rPr>
        <w:t>TERCERO.</w:t>
      </w:r>
      <w:r w:rsidRPr="007816F3">
        <w:rPr>
          <w:rFonts w:ascii="Arial" w:hAnsi="Arial" w:cs="Arial"/>
        </w:rPr>
        <w:t xml:space="preserve"> Continúa vigente el Decreto número 120, publicado en el Periódico Oficial del Estado de Hidalgo de fecha 4 de julio de 1983, en virtud de estar en vigor la coordinación que en materia de Derechos, suscribió el Estado de Hidalgo y la Secretaría de Hacienda y Crédito Público, quedando sin efecto el cobro </w:t>
      </w:r>
      <w:r w:rsidRPr="007816F3">
        <w:rPr>
          <w:rFonts w:ascii="Arial" w:hAnsi="Arial" w:cs="Arial"/>
        </w:rPr>
        <w:lastRenderedPageBreak/>
        <w:t>de Derechos establecidos en el mismo, salvo aquellos que han sido liberados, de acuerdo a lo establecido en la Ley de Coordinación Fiscal Federal y que se incluirán en las Leyes locales correspondientes.</w:t>
      </w:r>
    </w:p>
    <w:p w14:paraId="7390C7AD" w14:textId="77777777" w:rsidR="00254A39" w:rsidRPr="007816F3" w:rsidRDefault="00254A39" w:rsidP="004215F5">
      <w:pPr>
        <w:jc w:val="both"/>
        <w:rPr>
          <w:rFonts w:ascii="Arial" w:hAnsi="Arial" w:cs="Arial"/>
        </w:rPr>
      </w:pPr>
    </w:p>
    <w:p w14:paraId="1449302F" w14:textId="77777777" w:rsidR="00254A39" w:rsidRPr="007816F3" w:rsidRDefault="00254A39" w:rsidP="004215F5">
      <w:pPr>
        <w:jc w:val="both"/>
        <w:rPr>
          <w:rFonts w:ascii="Arial" w:hAnsi="Arial" w:cs="Arial"/>
        </w:rPr>
      </w:pPr>
      <w:r w:rsidRPr="007816F3">
        <w:rPr>
          <w:rFonts w:ascii="Arial" w:hAnsi="Arial" w:cs="Arial"/>
          <w:b/>
          <w:bCs/>
        </w:rPr>
        <w:t>CUARTO.</w:t>
      </w:r>
      <w:r w:rsidRPr="007816F3">
        <w:rPr>
          <w:rFonts w:ascii="Arial" w:hAnsi="Arial" w:cs="Arial"/>
        </w:rPr>
        <w:t xml:space="preserve"> En caso de que la Ley Orgánica de la Administración Pública para el Estado de Hidalgo sea reformada, o bien, cuando se acuerde la desincorporación de una Entidad de la Administración Pública Paraestatal, el Poder Ejecutivo del Estado estará facultado para llevar a cabo el cobro de las contribuciones establecidas en la presente Ley, a través de la Dependencia o Entidad Paraestatal a la que, en razón de la reforma o desincorporación respectiva, se le otorguen las atribuciones que hubieren estado asignadas a otras y que estuvieran vinculadas expresamente con dichas contribuciones.</w:t>
      </w:r>
    </w:p>
    <w:p w14:paraId="56CA4A1F" w14:textId="77777777" w:rsidR="00254A39" w:rsidRPr="007816F3" w:rsidRDefault="00254A39" w:rsidP="004215F5">
      <w:pPr>
        <w:jc w:val="both"/>
        <w:rPr>
          <w:rFonts w:ascii="Arial" w:hAnsi="Arial" w:cs="Arial"/>
        </w:rPr>
      </w:pPr>
    </w:p>
    <w:p w14:paraId="298A794E" w14:textId="77777777" w:rsidR="00254A39" w:rsidRPr="007816F3" w:rsidRDefault="00254A39" w:rsidP="004215F5">
      <w:pPr>
        <w:jc w:val="both"/>
        <w:rPr>
          <w:rFonts w:ascii="Arial" w:hAnsi="Arial" w:cs="Arial"/>
        </w:rPr>
      </w:pPr>
      <w:r w:rsidRPr="007816F3">
        <w:rPr>
          <w:rFonts w:ascii="Arial" w:hAnsi="Arial" w:cs="Arial"/>
          <w:b/>
          <w:bCs/>
        </w:rPr>
        <w:t>QUINTO.</w:t>
      </w:r>
      <w:r w:rsidRPr="007816F3">
        <w:rPr>
          <w:rFonts w:ascii="Arial" w:hAnsi="Arial" w:cs="Arial"/>
        </w:rPr>
        <w:t xml:space="preserve"> Las cantidades que se establecen como ingreso por concepto de Participaciones, Aportaciones Federales, Incentivos derivados de la Colaboración Fiscal, Convenios, Subsidios Federales, estarán sujetas a las variaciones que sufra el Presupuesto de Egresos de la Federación, para el Ejercicio Fiscal 2025.</w:t>
      </w:r>
    </w:p>
    <w:p w14:paraId="405C6A58" w14:textId="77777777" w:rsidR="00254A39" w:rsidRPr="007816F3" w:rsidRDefault="00254A39" w:rsidP="004215F5">
      <w:pPr>
        <w:jc w:val="both"/>
        <w:rPr>
          <w:rFonts w:ascii="Arial" w:hAnsi="Arial" w:cs="Arial"/>
        </w:rPr>
      </w:pPr>
    </w:p>
    <w:p w14:paraId="346896F9" w14:textId="77777777" w:rsidR="00254A39" w:rsidRPr="007816F3" w:rsidRDefault="00254A39" w:rsidP="004215F5">
      <w:pPr>
        <w:jc w:val="both"/>
        <w:rPr>
          <w:rFonts w:ascii="Arial" w:hAnsi="Arial" w:cs="Arial"/>
        </w:rPr>
      </w:pPr>
      <w:r w:rsidRPr="007816F3">
        <w:rPr>
          <w:rFonts w:ascii="Arial" w:hAnsi="Arial" w:cs="Arial"/>
          <w:b/>
          <w:bCs/>
        </w:rPr>
        <w:t>SEXTO.</w:t>
      </w:r>
      <w:r w:rsidRPr="007816F3">
        <w:rPr>
          <w:rFonts w:ascii="Arial" w:hAnsi="Arial" w:cs="Arial"/>
        </w:rPr>
        <w:t xml:space="preserve"> Las autoridades del Registro Público de la Propiedad del Estado de Hidalgo y/o el Instituto de la Función Registral y/o las Oficinas Registrales Distritales, según corresponda y, en su caso, los Fedatarios Públicos, que realicen pagos o cobros con base en los estímulos fiscales, es decir, beneficios y facilidades administrativas contenidas en la presente, deberán incluir la leyenda “Conforme al artículo 12 de la Ley de Ingresos del Estado Libre y Soberano de Hidalgo para el Ejercicio Fiscal del año 2025”, en el apartado “Datos Adicionales” del formato F-7.</w:t>
      </w:r>
    </w:p>
    <w:p w14:paraId="2B74A29A" w14:textId="77777777" w:rsidR="00254A39" w:rsidRPr="007816F3" w:rsidRDefault="00254A39" w:rsidP="004215F5">
      <w:pPr>
        <w:jc w:val="both"/>
        <w:rPr>
          <w:rFonts w:ascii="Arial" w:hAnsi="Arial" w:cs="Arial"/>
        </w:rPr>
      </w:pPr>
    </w:p>
    <w:p w14:paraId="348EC71C" w14:textId="77777777" w:rsidR="00254A39" w:rsidRPr="007816F3" w:rsidRDefault="00254A39" w:rsidP="004215F5">
      <w:pPr>
        <w:jc w:val="both"/>
        <w:rPr>
          <w:rFonts w:ascii="Arial" w:hAnsi="Arial" w:cs="Arial"/>
        </w:rPr>
      </w:pPr>
      <w:r w:rsidRPr="007816F3">
        <w:rPr>
          <w:rFonts w:ascii="Arial" w:hAnsi="Arial" w:cs="Arial"/>
          <w:b/>
          <w:bCs/>
        </w:rPr>
        <w:t>SÉPTIMO.</w:t>
      </w:r>
      <w:r w:rsidRPr="007816F3">
        <w:rPr>
          <w:rFonts w:ascii="Arial" w:hAnsi="Arial" w:cs="Arial"/>
        </w:rPr>
        <w:t xml:space="preserve"> El valor de las (</w:t>
      </w:r>
      <w:proofErr w:type="spellStart"/>
      <w:r w:rsidRPr="007816F3">
        <w:rPr>
          <w:rFonts w:ascii="Arial" w:hAnsi="Arial" w:cs="Arial"/>
        </w:rPr>
        <w:t>UMAS</w:t>
      </w:r>
      <w:proofErr w:type="spellEnd"/>
      <w:r w:rsidRPr="007816F3">
        <w:rPr>
          <w:rFonts w:ascii="Arial" w:hAnsi="Arial" w:cs="Arial"/>
        </w:rPr>
        <w:t>) para efectos del Capítulo Segundo de los Estímulos Fiscales, será el vigente al 31 de diciembre de 2024, es decir 108.57, cuando así lo señale el estímulo otorgado.</w:t>
      </w:r>
    </w:p>
    <w:p w14:paraId="64795CDA" w14:textId="77777777" w:rsidR="00254A39" w:rsidRPr="007816F3" w:rsidRDefault="00254A39" w:rsidP="004215F5">
      <w:pPr>
        <w:jc w:val="both"/>
        <w:rPr>
          <w:rFonts w:ascii="Arial" w:hAnsi="Arial" w:cs="Arial"/>
        </w:rPr>
      </w:pPr>
    </w:p>
    <w:p w14:paraId="1EEC15AD" w14:textId="77777777" w:rsidR="00254A39" w:rsidRPr="007816F3" w:rsidRDefault="00254A39" w:rsidP="004215F5">
      <w:pPr>
        <w:jc w:val="both"/>
        <w:rPr>
          <w:rFonts w:ascii="Arial" w:hAnsi="Arial" w:cs="Arial"/>
        </w:rPr>
      </w:pPr>
      <w:r w:rsidRPr="007816F3">
        <w:rPr>
          <w:rFonts w:ascii="Arial" w:hAnsi="Arial" w:cs="Arial"/>
          <w:b/>
          <w:bCs/>
        </w:rPr>
        <w:t>OCTAVO.</w:t>
      </w:r>
      <w:r w:rsidRPr="007816F3">
        <w:rPr>
          <w:rFonts w:ascii="Arial" w:hAnsi="Arial" w:cs="Arial"/>
        </w:rPr>
        <w:t xml:space="preserve"> Las personas físicas y jurídicas que opten por apegarse a los estímulos fiscales, es decir, beneficios y facilidades administrativas contenidos en la presente Ley, en su caso, deberán presentar en tiempo y forma las declaraciones y pagos de Impuestos locales.</w:t>
      </w:r>
    </w:p>
    <w:p w14:paraId="620858B3" w14:textId="77777777" w:rsidR="00254A39" w:rsidRPr="007816F3" w:rsidRDefault="00254A39" w:rsidP="004215F5">
      <w:pPr>
        <w:jc w:val="both"/>
        <w:rPr>
          <w:rFonts w:ascii="Arial" w:hAnsi="Arial" w:cs="Arial"/>
        </w:rPr>
      </w:pPr>
    </w:p>
    <w:p w14:paraId="753FB679" w14:textId="77777777" w:rsidR="00254A39" w:rsidRPr="007816F3" w:rsidRDefault="00254A39" w:rsidP="004215F5">
      <w:pPr>
        <w:jc w:val="both"/>
        <w:rPr>
          <w:rFonts w:ascii="Arial" w:hAnsi="Arial" w:cs="Arial"/>
        </w:rPr>
      </w:pPr>
      <w:r w:rsidRPr="007816F3">
        <w:rPr>
          <w:rFonts w:ascii="Arial" w:hAnsi="Arial" w:cs="Arial"/>
          <w:b/>
          <w:bCs/>
        </w:rPr>
        <w:t>NOVENO.</w:t>
      </w:r>
      <w:r w:rsidRPr="007816F3">
        <w:rPr>
          <w:rFonts w:ascii="Arial" w:hAnsi="Arial" w:cs="Arial"/>
        </w:rPr>
        <w:t xml:space="preserve"> Respecto de los Estímulos Fiscales señalados en el artículo 11 de la presente Ley, con fundamento en el artículo 41 del Código Fiscal del Estado de Hidalgo, se otorgan los estímulos fiscales correspondientes a los Impuestos, Derechos y accesorios relacionados con el Control Vehicular del Ejercicio Fiscal 2025 y de los Ejercicios Fiscales adeudados que sean anteriores a 2025, siempre y cuando se cumpla con los requisitos establecidos en los Lineamientos de Operación del Programa “Circula Seguro”, que para sus efectos se publiquen.</w:t>
      </w:r>
    </w:p>
    <w:p w14:paraId="28482BEE" w14:textId="77777777" w:rsidR="00254A39" w:rsidRPr="007816F3" w:rsidRDefault="00254A39" w:rsidP="004215F5">
      <w:pPr>
        <w:jc w:val="both"/>
        <w:rPr>
          <w:rFonts w:ascii="Arial" w:hAnsi="Arial" w:cs="Arial"/>
        </w:rPr>
      </w:pPr>
    </w:p>
    <w:p w14:paraId="73CA198E" w14:textId="77777777" w:rsidR="00254A39" w:rsidRPr="007816F3" w:rsidRDefault="00254A39" w:rsidP="004215F5">
      <w:pPr>
        <w:jc w:val="both"/>
        <w:rPr>
          <w:rFonts w:ascii="Arial" w:hAnsi="Arial" w:cs="Arial"/>
        </w:rPr>
      </w:pPr>
      <w:r w:rsidRPr="007816F3">
        <w:rPr>
          <w:rFonts w:ascii="Arial" w:hAnsi="Arial" w:cs="Arial"/>
          <w:b/>
          <w:bCs/>
        </w:rPr>
        <w:t>DÉCIMO.</w:t>
      </w:r>
      <w:r w:rsidRPr="007816F3">
        <w:rPr>
          <w:rFonts w:ascii="Arial" w:hAnsi="Arial" w:cs="Arial"/>
        </w:rPr>
        <w:t xml:space="preserve"> La aplicación de los estímulos fiscales, es decir, beneficios y facilidades administrativas establecidas en la presente Ley, por pagos efectuados en ejercicios previos, actuales o posteriores, no dará lugar a devolución, compensación ni acreditamiento de saldo a favor del contribuyente, ni limita en forma alguna, las facultades de las autoridades fiscales contenidas en otras disposiciones jurídicas. En su caso, se generarán los Lineamientos de Operación que sean indispensables para la aplicación de los referidos estímulos fiscales, derivado de las contingencias que se pudieran presentar.</w:t>
      </w:r>
    </w:p>
    <w:p w14:paraId="592BB4F4" w14:textId="77777777" w:rsidR="00254A39" w:rsidRPr="007816F3" w:rsidRDefault="00254A39" w:rsidP="004215F5">
      <w:pPr>
        <w:jc w:val="both"/>
        <w:rPr>
          <w:rFonts w:ascii="Arial" w:hAnsi="Arial" w:cs="Arial"/>
        </w:rPr>
      </w:pPr>
    </w:p>
    <w:p w14:paraId="403084FC" w14:textId="2F2A9205" w:rsidR="00DA60F0" w:rsidRPr="007816F3" w:rsidRDefault="00DA60F0" w:rsidP="004215F5">
      <w:pPr>
        <w:jc w:val="both"/>
        <w:rPr>
          <w:rFonts w:ascii="Arial" w:hAnsi="Arial" w:cs="Arial"/>
          <w:b/>
        </w:rPr>
      </w:pPr>
      <w:r w:rsidRPr="007816F3">
        <w:rPr>
          <w:rFonts w:ascii="Arial" w:hAnsi="Arial" w:cs="Arial"/>
          <w:b/>
        </w:rPr>
        <w:t xml:space="preserve">AL EJECUTIVO DEL ESTADO PARA LOS EFECTOS DEL ARTÍCULO 51 DE LA CONSTITUCIÓN POLÍTICA DEL ESTADO DE </w:t>
      </w:r>
      <w:proofErr w:type="gramStart"/>
      <w:r w:rsidRPr="007816F3">
        <w:rPr>
          <w:rFonts w:ascii="Arial" w:hAnsi="Arial" w:cs="Arial"/>
          <w:b/>
        </w:rPr>
        <w:t>HIDALGO.-</w:t>
      </w:r>
      <w:proofErr w:type="gramEnd"/>
      <w:r w:rsidRPr="007816F3">
        <w:rPr>
          <w:rFonts w:ascii="Arial" w:hAnsi="Arial" w:cs="Arial"/>
          <w:b/>
        </w:rPr>
        <w:t xml:space="preserve"> </w:t>
      </w:r>
      <w:r w:rsidR="007E2C19" w:rsidRPr="007816F3">
        <w:rPr>
          <w:rFonts w:ascii="Arial" w:hAnsi="Arial" w:cs="Arial"/>
          <w:b/>
        </w:rPr>
        <w:t>E</w:t>
      </w:r>
      <w:r w:rsidR="00C01879" w:rsidRPr="007816F3">
        <w:rPr>
          <w:rFonts w:ascii="Arial" w:hAnsi="Arial" w:cs="Arial"/>
          <w:b/>
        </w:rPr>
        <w:t>MITIDO</w:t>
      </w:r>
      <w:r w:rsidRPr="007816F3">
        <w:rPr>
          <w:rFonts w:ascii="Arial" w:hAnsi="Arial" w:cs="Arial"/>
          <w:b/>
        </w:rPr>
        <w:t xml:space="preserve"> </w:t>
      </w:r>
      <w:r w:rsidR="003B0D81" w:rsidRPr="007816F3">
        <w:rPr>
          <w:rFonts w:ascii="Arial" w:hAnsi="Arial" w:cs="Arial"/>
          <w:b/>
        </w:rPr>
        <w:t>POR LA LXVI LEGISLATURA</w:t>
      </w:r>
      <w:r w:rsidRPr="007816F3">
        <w:rPr>
          <w:rFonts w:ascii="Arial" w:hAnsi="Arial" w:cs="Arial"/>
          <w:b/>
        </w:rPr>
        <w:t xml:space="preserve"> DEL CONGRESO DEL ESTADO, EN LA CIUDAD DE PACHUCA DE SOTO, HIDALGO, A LOS </w:t>
      </w:r>
      <w:r w:rsidR="0023075A" w:rsidRPr="007816F3">
        <w:rPr>
          <w:rFonts w:ascii="Arial" w:hAnsi="Arial" w:cs="Arial"/>
          <w:b/>
        </w:rPr>
        <w:t>ONCE</w:t>
      </w:r>
      <w:r w:rsidR="00CD5A0E" w:rsidRPr="007816F3">
        <w:rPr>
          <w:rFonts w:ascii="Arial" w:hAnsi="Arial" w:cs="Arial"/>
          <w:b/>
        </w:rPr>
        <w:t xml:space="preserve"> </w:t>
      </w:r>
      <w:r w:rsidRPr="007816F3">
        <w:rPr>
          <w:rFonts w:ascii="Arial" w:hAnsi="Arial" w:cs="Arial"/>
          <w:b/>
        </w:rPr>
        <w:t xml:space="preserve">DÍAS DEL MES DE </w:t>
      </w:r>
      <w:r w:rsidR="00710DAB" w:rsidRPr="007816F3">
        <w:rPr>
          <w:rFonts w:ascii="Arial" w:hAnsi="Arial" w:cs="Arial"/>
          <w:b/>
        </w:rPr>
        <w:t>DICIEMBRE</w:t>
      </w:r>
      <w:r w:rsidRPr="007816F3">
        <w:rPr>
          <w:rFonts w:ascii="Arial" w:hAnsi="Arial" w:cs="Arial"/>
          <w:b/>
        </w:rPr>
        <w:t xml:space="preserve"> DEL AÑO DOS MIL VEINTICUATRO.</w:t>
      </w:r>
    </w:p>
    <w:p w14:paraId="2020B8C9" w14:textId="77777777" w:rsidR="00254A39" w:rsidRPr="007816F3" w:rsidRDefault="00254A39" w:rsidP="004215F5">
      <w:pPr>
        <w:rPr>
          <w:rFonts w:ascii="Arial" w:hAnsi="Arial" w:cs="Arial"/>
          <w:b/>
        </w:rPr>
      </w:pPr>
    </w:p>
    <w:p w14:paraId="0D7620BC" w14:textId="77777777" w:rsidR="00DA60F0" w:rsidRPr="007816F3" w:rsidRDefault="00DA60F0" w:rsidP="004215F5">
      <w:pPr>
        <w:rPr>
          <w:rFonts w:ascii="Arial" w:hAnsi="Arial" w:cs="Arial"/>
          <w:b/>
        </w:rPr>
      </w:pPr>
    </w:p>
    <w:tbl>
      <w:tblPr>
        <w:tblW w:w="10216" w:type="dxa"/>
        <w:jc w:val="center"/>
        <w:tblLayout w:type="fixed"/>
        <w:tblCellMar>
          <w:left w:w="70" w:type="dxa"/>
          <w:right w:w="70" w:type="dxa"/>
        </w:tblCellMar>
        <w:tblLook w:val="0000" w:firstRow="0" w:lastRow="0" w:firstColumn="0" w:lastColumn="0" w:noHBand="0" w:noVBand="0"/>
      </w:tblPr>
      <w:tblGrid>
        <w:gridCol w:w="5098"/>
        <w:gridCol w:w="160"/>
        <w:gridCol w:w="4958"/>
      </w:tblGrid>
      <w:tr w:rsidR="007E2C19" w:rsidRPr="007816F3" w14:paraId="66926066" w14:textId="77777777" w:rsidTr="003B7959">
        <w:trPr>
          <w:cantSplit/>
          <w:jc w:val="center"/>
        </w:trPr>
        <w:tc>
          <w:tcPr>
            <w:tcW w:w="5098" w:type="dxa"/>
          </w:tcPr>
          <w:p w14:paraId="7DA3A003" w14:textId="061C84F0" w:rsidR="007E2C19" w:rsidRPr="007816F3" w:rsidRDefault="007E2C19" w:rsidP="004215F5">
            <w:pPr>
              <w:jc w:val="center"/>
              <w:rPr>
                <w:rFonts w:ascii="Arial" w:hAnsi="Arial" w:cs="Arial"/>
                <w:b/>
                <w:lang w:val="pt-PT"/>
              </w:rPr>
            </w:pPr>
            <w:r w:rsidRPr="007816F3">
              <w:rPr>
                <w:rFonts w:ascii="Arial" w:hAnsi="Arial" w:cs="Arial"/>
                <w:b/>
                <w:lang w:val="pt-PT"/>
              </w:rPr>
              <w:t>DIP</w:t>
            </w:r>
            <w:r w:rsidR="00C01879" w:rsidRPr="007816F3">
              <w:rPr>
                <w:rFonts w:ascii="Arial" w:hAnsi="Arial" w:cs="Arial"/>
                <w:b/>
                <w:lang w:val="pt-PT"/>
              </w:rPr>
              <w:t>.</w:t>
            </w:r>
            <w:r w:rsidR="00A16FEE" w:rsidRPr="007816F3">
              <w:rPr>
                <w:rFonts w:ascii="Arial" w:hAnsi="Arial" w:cs="Arial"/>
                <w:b/>
                <w:lang w:val="pt-PT"/>
              </w:rPr>
              <w:t xml:space="preserve"> </w:t>
            </w:r>
            <w:r w:rsidR="00710DAB" w:rsidRPr="007816F3">
              <w:rPr>
                <w:rFonts w:ascii="Arial" w:hAnsi="Arial" w:cs="Arial"/>
                <w:b/>
                <w:lang w:val="pt-PT"/>
              </w:rPr>
              <w:t>AVELINO TOVAR IGLESIAS</w:t>
            </w:r>
          </w:p>
          <w:p w14:paraId="7C3A4CE4" w14:textId="77777777" w:rsidR="007E2C19" w:rsidRDefault="007E2C19" w:rsidP="004215F5">
            <w:pPr>
              <w:jc w:val="center"/>
              <w:rPr>
                <w:rFonts w:ascii="Arial" w:hAnsi="Arial" w:cs="Arial"/>
                <w:b/>
                <w:lang w:val="pt-PT"/>
              </w:rPr>
            </w:pPr>
            <w:r w:rsidRPr="007816F3">
              <w:rPr>
                <w:rFonts w:ascii="Arial" w:hAnsi="Arial" w:cs="Arial"/>
                <w:b/>
                <w:lang w:val="pt-PT"/>
              </w:rPr>
              <w:t>PRESIDENT</w:t>
            </w:r>
            <w:r w:rsidR="00710DAB" w:rsidRPr="007816F3">
              <w:rPr>
                <w:rFonts w:ascii="Arial" w:hAnsi="Arial" w:cs="Arial"/>
                <w:b/>
                <w:lang w:val="pt-PT"/>
              </w:rPr>
              <w:t>E</w:t>
            </w:r>
          </w:p>
          <w:p w14:paraId="79E58542" w14:textId="5227515E" w:rsidR="00AD3F68" w:rsidRPr="007816F3" w:rsidRDefault="00AD3F68" w:rsidP="004215F5">
            <w:pPr>
              <w:jc w:val="center"/>
              <w:rPr>
                <w:rFonts w:ascii="Arial" w:hAnsi="Arial" w:cs="Arial"/>
                <w:b/>
                <w:lang w:val="pt-PT"/>
              </w:rPr>
            </w:pPr>
            <w:r>
              <w:rPr>
                <w:rFonts w:ascii="Arial" w:hAnsi="Arial" w:cs="Arial"/>
                <w:b/>
                <w:lang w:val="pt-PT"/>
              </w:rPr>
              <w:t>RÚBRICA</w:t>
            </w:r>
          </w:p>
        </w:tc>
        <w:tc>
          <w:tcPr>
            <w:tcW w:w="160" w:type="dxa"/>
          </w:tcPr>
          <w:p w14:paraId="75361DF3" w14:textId="77777777" w:rsidR="007E2C19" w:rsidRPr="007816F3" w:rsidRDefault="007E2C19" w:rsidP="004215F5">
            <w:pPr>
              <w:jc w:val="both"/>
              <w:rPr>
                <w:rFonts w:ascii="Arial" w:hAnsi="Arial" w:cs="Arial"/>
                <w:b/>
                <w:lang w:val="pt-PT"/>
              </w:rPr>
            </w:pPr>
          </w:p>
        </w:tc>
        <w:tc>
          <w:tcPr>
            <w:tcW w:w="4958" w:type="dxa"/>
          </w:tcPr>
          <w:p w14:paraId="3827DF8D" w14:textId="1FDA4391" w:rsidR="007E2C19" w:rsidRPr="007816F3" w:rsidRDefault="007E2C19" w:rsidP="004215F5">
            <w:pPr>
              <w:jc w:val="center"/>
              <w:rPr>
                <w:rFonts w:ascii="Arial" w:hAnsi="Arial" w:cs="Arial"/>
                <w:b/>
              </w:rPr>
            </w:pPr>
            <w:proofErr w:type="spellStart"/>
            <w:r w:rsidRPr="007816F3">
              <w:rPr>
                <w:rFonts w:ascii="Arial" w:hAnsi="Arial" w:cs="Arial"/>
                <w:b/>
              </w:rPr>
              <w:t>DIP</w:t>
            </w:r>
            <w:proofErr w:type="spellEnd"/>
            <w:r w:rsidR="00C01879" w:rsidRPr="007816F3">
              <w:rPr>
                <w:rFonts w:ascii="Arial" w:hAnsi="Arial" w:cs="Arial"/>
                <w:b/>
              </w:rPr>
              <w:t>.</w:t>
            </w:r>
            <w:r w:rsidR="00A16FEE" w:rsidRPr="007816F3">
              <w:rPr>
                <w:rFonts w:ascii="Arial" w:hAnsi="Arial" w:cs="Arial"/>
                <w:b/>
              </w:rPr>
              <w:t xml:space="preserve"> </w:t>
            </w:r>
            <w:r w:rsidR="00710DAB" w:rsidRPr="007816F3">
              <w:rPr>
                <w:rFonts w:ascii="Arial" w:hAnsi="Arial" w:cs="Arial"/>
                <w:b/>
              </w:rPr>
              <w:t>HILDA MIRANDA MIRANDA</w:t>
            </w:r>
          </w:p>
          <w:p w14:paraId="6ABC6099" w14:textId="77777777" w:rsidR="007E2C19" w:rsidRDefault="007E2C19" w:rsidP="004215F5">
            <w:pPr>
              <w:jc w:val="center"/>
              <w:rPr>
                <w:rFonts w:ascii="Arial" w:hAnsi="Arial" w:cs="Arial"/>
                <w:b/>
              </w:rPr>
            </w:pPr>
            <w:r w:rsidRPr="007816F3">
              <w:rPr>
                <w:rFonts w:ascii="Arial" w:hAnsi="Arial" w:cs="Arial"/>
                <w:b/>
              </w:rPr>
              <w:t>VICEPRESIDENT</w:t>
            </w:r>
            <w:r w:rsidR="00567708" w:rsidRPr="007816F3">
              <w:rPr>
                <w:rFonts w:ascii="Arial" w:hAnsi="Arial" w:cs="Arial"/>
                <w:b/>
              </w:rPr>
              <w:t>A</w:t>
            </w:r>
          </w:p>
          <w:p w14:paraId="6CB7E9D4" w14:textId="1A51309F" w:rsidR="00AD3F68" w:rsidRPr="007816F3" w:rsidRDefault="00AD3F68" w:rsidP="004215F5">
            <w:pPr>
              <w:jc w:val="center"/>
              <w:rPr>
                <w:rFonts w:ascii="Arial" w:hAnsi="Arial" w:cs="Arial"/>
                <w:b/>
              </w:rPr>
            </w:pPr>
            <w:r>
              <w:rPr>
                <w:rFonts w:ascii="Arial" w:hAnsi="Arial" w:cs="Arial"/>
                <w:b/>
              </w:rPr>
              <w:t>RÚBRICA</w:t>
            </w:r>
          </w:p>
        </w:tc>
      </w:tr>
    </w:tbl>
    <w:p w14:paraId="07D271B1" w14:textId="77777777" w:rsidR="00DA60F0" w:rsidRPr="007816F3" w:rsidRDefault="00DA60F0" w:rsidP="004215F5">
      <w:pPr>
        <w:rPr>
          <w:rFonts w:ascii="Arial" w:hAnsi="Arial" w:cs="Arial"/>
          <w:b/>
        </w:rPr>
      </w:pPr>
    </w:p>
    <w:p w14:paraId="20B706E8" w14:textId="77777777" w:rsidR="00254A39" w:rsidRPr="007816F3" w:rsidRDefault="00254A39" w:rsidP="004215F5">
      <w:pPr>
        <w:rPr>
          <w:rFonts w:ascii="Arial" w:hAnsi="Arial" w:cs="Arial"/>
          <w:b/>
        </w:rPr>
      </w:pPr>
    </w:p>
    <w:p w14:paraId="7F62704C" w14:textId="77777777" w:rsidR="00254A39" w:rsidRPr="007816F3" w:rsidRDefault="00254A39" w:rsidP="004215F5">
      <w:pPr>
        <w:rPr>
          <w:rFonts w:ascii="Arial" w:hAnsi="Arial" w:cs="Arial"/>
          <w:b/>
        </w:rPr>
      </w:pPr>
    </w:p>
    <w:p w14:paraId="63A6E5F4" w14:textId="77777777" w:rsidR="00CD5A0E" w:rsidRPr="007816F3" w:rsidRDefault="00CD5A0E" w:rsidP="004215F5">
      <w:pPr>
        <w:rPr>
          <w:rFonts w:ascii="Arial" w:hAnsi="Arial" w:cs="Arial"/>
          <w:b/>
        </w:rPr>
      </w:pPr>
    </w:p>
    <w:tbl>
      <w:tblPr>
        <w:tblW w:w="10216" w:type="dxa"/>
        <w:jc w:val="center"/>
        <w:tblLayout w:type="fixed"/>
        <w:tblCellMar>
          <w:left w:w="70" w:type="dxa"/>
          <w:right w:w="70" w:type="dxa"/>
        </w:tblCellMar>
        <w:tblLook w:val="0000" w:firstRow="0" w:lastRow="0" w:firstColumn="0" w:lastColumn="0" w:noHBand="0" w:noVBand="0"/>
      </w:tblPr>
      <w:tblGrid>
        <w:gridCol w:w="5098"/>
        <w:gridCol w:w="160"/>
        <w:gridCol w:w="4958"/>
      </w:tblGrid>
      <w:tr w:rsidR="00DA60F0" w:rsidRPr="007816F3" w14:paraId="0E5C1F0E" w14:textId="77777777" w:rsidTr="003B7959">
        <w:trPr>
          <w:cantSplit/>
          <w:jc w:val="center"/>
        </w:trPr>
        <w:tc>
          <w:tcPr>
            <w:tcW w:w="5098" w:type="dxa"/>
          </w:tcPr>
          <w:p w14:paraId="42391FFA" w14:textId="457CDFA2" w:rsidR="00DA60F0" w:rsidRPr="007816F3" w:rsidRDefault="00DA60F0" w:rsidP="004215F5">
            <w:pPr>
              <w:jc w:val="center"/>
              <w:rPr>
                <w:rFonts w:ascii="Arial" w:hAnsi="Arial" w:cs="Arial"/>
                <w:b/>
              </w:rPr>
            </w:pPr>
            <w:proofErr w:type="spellStart"/>
            <w:r w:rsidRPr="007816F3">
              <w:rPr>
                <w:rFonts w:ascii="Arial" w:hAnsi="Arial" w:cs="Arial"/>
                <w:b/>
              </w:rPr>
              <w:lastRenderedPageBreak/>
              <w:t>DIP</w:t>
            </w:r>
            <w:proofErr w:type="spellEnd"/>
            <w:r w:rsidR="00C01879" w:rsidRPr="007816F3">
              <w:rPr>
                <w:rFonts w:ascii="Arial" w:hAnsi="Arial" w:cs="Arial"/>
                <w:b/>
              </w:rPr>
              <w:t>.</w:t>
            </w:r>
            <w:r w:rsidR="00A16FEE" w:rsidRPr="007816F3">
              <w:rPr>
                <w:rFonts w:ascii="Arial" w:hAnsi="Arial" w:cs="Arial"/>
                <w:b/>
              </w:rPr>
              <w:t xml:space="preserve"> </w:t>
            </w:r>
            <w:r w:rsidR="00710DAB" w:rsidRPr="007816F3">
              <w:rPr>
                <w:rFonts w:ascii="Arial" w:hAnsi="Arial" w:cs="Arial"/>
                <w:b/>
              </w:rPr>
              <w:t>JOSÉ MARÍA ALEJANDRO PÉREZ RAMÍREZ</w:t>
            </w:r>
          </w:p>
          <w:p w14:paraId="6472E20C" w14:textId="77777777" w:rsidR="00DA60F0" w:rsidRDefault="00DA60F0" w:rsidP="004215F5">
            <w:pPr>
              <w:jc w:val="center"/>
              <w:rPr>
                <w:rFonts w:ascii="Arial" w:hAnsi="Arial" w:cs="Arial"/>
                <w:b/>
              </w:rPr>
            </w:pPr>
            <w:r w:rsidRPr="007816F3">
              <w:rPr>
                <w:rFonts w:ascii="Arial" w:hAnsi="Arial" w:cs="Arial"/>
                <w:b/>
              </w:rPr>
              <w:t>SECRETARI</w:t>
            </w:r>
            <w:r w:rsidR="001D1F99" w:rsidRPr="007816F3">
              <w:rPr>
                <w:rFonts w:ascii="Arial" w:hAnsi="Arial" w:cs="Arial"/>
                <w:b/>
              </w:rPr>
              <w:t>O</w:t>
            </w:r>
          </w:p>
          <w:p w14:paraId="248C84E7" w14:textId="2656DABA" w:rsidR="00AD3F68" w:rsidRPr="007816F3" w:rsidRDefault="00AD3F68" w:rsidP="004215F5">
            <w:pPr>
              <w:jc w:val="center"/>
              <w:rPr>
                <w:rFonts w:ascii="Arial" w:hAnsi="Arial" w:cs="Arial"/>
                <w:b/>
              </w:rPr>
            </w:pPr>
            <w:r>
              <w:rPr>
                <w:rFonts w:ascii="Arial" w:hAnsi="Arial" w:cs="Arial"/>
                <w:b/>
                <w:lang w:val="pt-PT"/>
              </w:rPr>
              <w:t>RÚBRICA</w:t>
            </w:r>
          </w:p>
        </w:tc>
        <w:tc>
          <w:tcPr>
            <w:tcW w:w="160" w:type="dxa"/>
          </w:tcPr>
          <w:p w14:paraId="3DD3458B" w14:textId="77777777" w:rsidR="00DA60F0" w:rsidRPr="007816F3" w:rsidRDefault="00DA60F0" w:rsidP="004215F5">
            <w:pPr>
              <w:jc w:val="both"/>
              <w:rPr>
                <w:rFonts w:ascii="Arial" w:hAnsi="Arial" w:cs="Arial"/>
                <w:b/>
              </w:rPr>
            </w:pPr>
          </w:p>
        </w:tc>
        <w:tc>
          <w:tcPr>
            <w:tcW w:w="4958" w:type="dxa"/>
          </w:tcPr>
          <w:p w14:paraId="6D1FC51A" w14:textId="22AF1AD8" w:rsidR="00DA60F0" w:rsidRPr="007816F3" w:rsidRDefault="00DA60F0" w:rsidP="004215F5">
            <w:pPr>
              <w:jc w:val="center"/>
              <w:rPr>
                <w:rFonts w:ascii="Arial" w:hAnsi="Arial" w:cs="Arial"/>
                <w:b/>
                <w:lang w:val="pt-PT"/>
              </w:rPr>
            </w:pPr>
            <w:r w:rsidRPr="007816F3">
              <w:rPr>
                <w:rFonts w:ascii="Arial" w:hAnsi="Arial" w:cs="Arial"/>
                <w:b/>
                <w:lang w:val="pt-PT"/>
              </w:rPr>
              <w:t>DIP</w:t>
            </w:r>
            <w:r w:rsidR="00C01879" w:rsidRPr="007816F3">
              <w:rPr>
                <w:rFonts w:ascii="Arial" w:hAnsi="Arial" w:cs="Arial"/>
                <w:b/>
                <w:lang w:val="pt-PT"/>
              </w:rPr>
              <w:t>.</w:t>
            </w:r>
            <w:r w:rsidR="00A16FEE" w:rsidRPr="007816F3">
              <w:rPr>
                <w:rFonts w:ascii="Arial" w:hAnsi="Arial" w:cs="Arial"/>
                <w:b/>
                <w:lang w:val="pt-PT"/>
              </w:rPr>
              <w:t xml:space="preserve"> </w:t>
            </w:r>
            <w:r w:rsidR="00710DAB" w:rsidRPr="007816F3">
              <w:rPr>
                <w:rFonts w:ascii="Arial" w:hAnsi="Arial" w:cs="Arial"/>
                <w:b/>
                <w:lang w:val="pt-PT"/>
              </w:rPr>
              <w:t>DIANA RANGEL ZÚÑIGA</w:t>
            </w:r>
          </w:p>
          <w:p w14:paraId="5E428936" w14:textId="77777777" w:rsidR="00DA60F0" w:rsidRDefault="00DA60F0" w:rsidP="004215F5">
            <w:pPr>
              <w:jc w:val="center"/>
              <w:rPr>
                <w:rFonts w:ascii="Arial" w:hAnsi="Arial" w:cs="Arial"/>
                <w:b/>
                <w:lang w:val="pt-PT"/>
              </w:rPr>
            </w:pPr>
            <w:r w:rsidRPr="007816F3">
              <w:rPr>
                <w:rFonts w:ascii="Arial" w:hAnsi="Arial" w:cs="Arial"/>
                <w:b/>
                <w:lang w:val="pt-PT"/>
              </w:rPr>
              <w:t>SECRETARI</w:t>
            </w:r>
            <w:r w:rsidR="00A16FEE" w:rsidRPr="007816F3">
              <w:rPr>
                <w:rFonts w:ascii="Arial" w:hAnsi="Arial" w:cs="Arial"/>
                <w:b/>
                <w:lang w:val="pt-PT"/>
              </w:rPr>
              <w:t>A</w:t>
            </w:r>
          </w:p>
          <w:p w14:paraId="76D96DF4" w14:textId="3996BC74" w:rsidR="00AD3F68" w:rsidRPr="007816F3" w:rsidRDefault="00AD3F68" w:rsidP="004215F5">
            <w:pPr>
              <w:jc w:val="center"/>
              <w:rPr>
                <w:rFonts w:ascii="Arial" w:hAnsi="Arial" w:cs="Arial"/>
                <w:b/>
                <w:lang w:val="pt-PT"/>
              </w:rPr>
            </w:pPr>
            <w:r>
              <w:rPr>
                <w:rFonts w:ascii="Arial" w:hAnsi="Arial" w:cs="Arial"/>
                <w:b/>
                <w:lang w:val="pt-PT"/>
              </w:rPr>
              <w:t>RÚBRICA</w:t>
            </w:r>
          </w:p>
        </w:tc>
      </w:tr>
    </w:tbl>
    <w:p w14:paraId="5474CEFE" w14:textId="77777777" w:rsidR="00254A39" w:rsidRPr="007816F3" w:rsidRDefault="00254A39" w:rsidP="004215F5">
      <w:pPr>
        <w:jc w:val="both"/>
        <w:rPr>
          <w:rFonts w:ascii="Arial" w:hAnsi="Arial" w:cs="Arial"/>
          <w:lang w:val="pt-PT"/>
        </w:rPr>
      </w:pPr>
    </w:p>
    <w:p w14:paraId="7FD550EE" w14:textId="274EF654" w:rsidR="00AC419A" w:rsidRDefault="00DA60F0" w:rsidP="004215F5">
      <w:pPr>
        <w:jc w:val="both"/>
        <w:rPr>
          <w:rFonts w:ascii="Arial" w:hAnsi="Arial" w:cs="Arial"/>
        </w:rPr>
      </w:pPr>
      <w:r w:rsidRPr="007816F3">
        <w:rPr>
          <w:rFonts w:ascii="Arial" w:hAnsi="Arial" w:cs="Arial"/>
        </w:rPr>
        <w:t xml:space="preserve">LAS PRESENTES FIRMAS CORRESPONDEN AL DECRETO </w:t>
      </w:r>
      <w:r w:rsidR="00254A39" w:rsidRPr="007816F3">
        <w:rPr>
          <w:rFonts w:ascii="Arial" w:hAnsi="Arial" w:cs="Arial"/>
        </w:rPr>
        <w:t>2</w:t>
      </w:r>
      <w:r w:rsidR="003A360B" w:rsidRPr="007816F3">
        <w:rPr>
          <w:rFonts w:ascii="Arial" w:hAnsi="Arial" w:cs="Arial"/>
        </w:rPr>
        <w:t>6</w:t>
      </w:r>
      <w:r w:rsidR="005E3396" w:rsidRPr="007816F3">
        <w:rPr>
          <w:rFonts w:ascii="Arial" w:hAnsi="Arial" w:cs="Arial"/>
        </w:rPr>
        <w:t xml:space="preserve"> </w:t>
      </w:r>
      <w:r w:rsidR="007E2C19" w:rsidRPr="007816F3">
        <w:rPr>
          <w:rFonts w:ascii="Arial" w:hAnsi="Arial" w:cs="Arial"/>
        </w:rPr>
        <w:t>-</w:t>
      </w:r>
      <w:r w:rsidR="005E3396" w:rsidRPr="007816F3">
        <w:rPr>
          <w:rFonts w:ascii="Arial" w:hAnsi="Arial" w:cs="Arial"/>
        </w:rPr>
        <w:t xml:space="preserve"> </w:t>
      </w:r>
      <w:r w:rsidR="007E2C19" w:rsidRPr="007816F3">
        <w:rPr>
          <w:rFonts w:ascii="Arial" w:hAnsi="Arial" w:cs="Arial"/>
        </w:rPr>
        <w:t>LXVI.</w:t>
      </w:r>
      <w:r w:rsidRPr="007816F3">
        <w:rPr>
          <w:rFonts w:ascii="Arial" w:hAnsi="Arial" w:cs="Arial"/>
        </w:rPr>
        <w:t xml:space="preserve">- </w:t>
      </w:r>
      <w:r w:rsidR="00B344F0" w:rsidRPr="007816F3">
        <w:rPr>
          <w:rFonts w:ascii="Arial" w:hAnsi="Arial" w:cs="Arial"/>
        </w:rPr>
        <w:t xml:space="preserve">QUE </w:t>
      </w:r>
      <w:r w:rsidR="00254A39" w:rsidRPr="007816F3">
        <w:rPr>
          <w:rFonts w:ascii="Arial" w:hAnsi="Arial" w:cs="Arial"/>
        </w:rPr>
        <w:t>CONTIENE LA LEY DE INGRESOS DEL ESTADO LIBRE Y SOBERANO DE HIDALGO PARA EL EJERCICIO FISCAL DEL AÑO 2025</w:t>
      </w:r>
      <w:r w:rsidR="007B7A4B" w:rsidRPr="007816F3">
        <w:rPr>
          <w:rFonts w:ascii="Arial" w:hAnsi="Arial" w:cs="Arial"/>
        </w:rPr>
        <w:t>.</w:t>
      </w:r>
    </w:p>
    <w:p w14:paraId="322A46FE" w14:textId="77777777" w:rsidR="00AD3F68" w:rsidRPr="00AD3F68" w:rsidRDefault="00AD3F68" w:rsidP="004215F5">
      <w:pPr>
        <w:jc w:val="both"/>
        <w:rPr>
          <w:rFonts w:ascii="Arial" w:hAnsi="Arial" w:cs="Arial"/>
          <w:b/>
          <w:bCs/>
        </w:rPr>
      </w:pPr>
    </w:p>
    <w:p w14:paraId="5B2BA4BC" w14:textId="38F181C2" w:rsidR="00AD3F68" w:rsidRPr="00AD3F68" w:rsidRDefault="00AD3F68" w:rsidP="004215F5">
      <w:pPr>
        <w:jc w:val="both"/>
        <w:rPr>
          <w:rFonts w:ascii="Arial" w:hAnsi="Arial" w:cs="Arial"/>
          <w:b/>
          <w:bCs/>
        </w:rPr>
      </w:pPr>
      <w:r w:rsidRPr="00AD3F68">
        <w:rPr>
          <w:rFonts w:ascii="Arial" w:hAnsi="Arial" w:cs="Arial"/>
          <w:b/>
          <w:bCs/>
        </w:rPr>
        <w:t>EN USO DE LAS FACULTADES QUE ME CONFIERE EL ARTÍCULO 71 FRACCIÓN I DE LA CONSTITUCIÓN POLÍTICA DEL ESTADO DE HIDALGO, Y EN OBSERVANCIA DE LO DISPUESTO POR EL ARTÍCULO 5° DE LA LEY DEL PERIÓDICO OFICIAL DEL ESTADO DE HIDALGO, TENGO A BIEN PROMULGAR EL PRESENTE DECRETO, POR LO TANTO, MANDO SE PUBLIQUE Y CIRCULE PARA SU EXACTA OBSERVANCIA Y DEBIDO CUMPLIMIENTO.</w:t>
      </w:r>
    </w:p>
    <w:p w14:paraId="71540FD2" w14:textId="77777777" w:rsidR="00AD3F68" w:rsidRPr="00AD3F68" w:rsidRDefault="00AD3F68" w:rsidP="004215F5">
      <w:pPr>
        <w:jc w:val="both"/>
        <w:rPr>
          <w:rFonts w:ascii="Arial" w:hAnsi="Arial" w:cs="Arial"/>
          <w:b/>
          <w:bCs/>
        </w:rPr>
      </w:pPr>
    </w:p>
    <w:p w14:paraId="4F5DD031" w14:textId="06B34EA6" w:rsidR="00AD3F68" w:rsidRPr="00AD3F68" w:rsidRDefault="00AD3F68" w:rsidP="004215F5">
      <w:pPr>
        <w:jc w:val="both"/>
        <w:rPr>
          <w:rFonts w:ascii="Arial" w:hAnsi="Arial" w:cs="Arial"/>
          <w:b/>
          <w:bCs/>
        </w:rPr>
      </w:pPr>
      <w:r w:rsidRPr="00AD3F68">
        <w:rPr>
          <w:rFonts w:ascii="Arial" w:hAnsi="Arial" w:cs="Arial"/>
          <w:b/>
          <w:bCs/>
        </w:rPr>
        <w:t>DADO EN LA RESIDENCIA DEL PODER EJECUTIVO DEL ESTADO LIBRE Y SOBERANO DE HIDALGO, A LOS VEINTITRÉS DÍAS DEL MES DE DICIEMBRE DEL AÑO DOS MIL VEINTICUATRO.</w:t>
      </w:r>
    </w:p>
    <w:p w14:paraId="6357546D" w14:textId="77777777" w:rsidR="00AD3F68" w:rsidRPr="00AD3F68" w:rsidRDefault="00AD3F68" w:rsidP="004215F5">
      <w:pPr>
        <w:jc w:val="both"/>
        <w:rPr>
          <w:rFonts w:ascii="Arial" w:hAnsi="Arial" w:cs="Arial"/>
          <w:b/>
          <w:bCs/>
        </w:rPr>
      </w:pPr>
    </w:p>
    <w:p w14:paraId="71FB36AE" w14:textId="77777777" w:rsidR="00AD3F68" w:rsidRDefault="00AD3F68" w:rsidP="004215F5">
      <w:pPr>
        <w:jc w:val="both"/>
        <w:rPr>
          <w:rFonts w:ascii="Arial" w:hAnsi="Arial" w:cs="Arial"/>
        </w:rPr>
      </w:pPr>
    </w:p>
    <w:p w14:paraId="01959FC8" w14:textId="74DF3080" w:rsidR="00AD3F68" w:rsidRPr="00AD3F68" w:rsidRDefault="00AD3F68" w:rsidP="00AD3F68">
      <w:pPr>
        <w:jc w:val="center"/>
        <w:rPr>
          <w:rFonts w:ascii="Arial" w:hAnsi="Arial" w:cs="Arial"/>
          <w:b/>
          <w:bCs/>
        </w:rPr>
      </w:pPr>
      <w:r w:rsidRPr="00AD3F68">
        <w:rPr>
          <w:rFonts w:ascii="Arial" w:hAnsi="Arial" w:cs="Arial"/>
          <w:b/>
          <w:bCs/>
        </w:rPr>
        <w:t>GOBERNADOR CONSTITUCIONAL</w:t>
      </w:r>
    </w:p>
    <w:p w14:paraId="16AC8D51" w14:textId="13AFAC08" w:rsidR="00AD3F68" w:rsidRPr="00AD3F68" w:rsidRDefault="00AD3F68" w:rsidP="00AD3F68">
      <w:pPr>
        <w:jc w:val="center"/>
        <w:rPr>
          <w:rFonts w:ascii="Arial" w:hAnsi="Arial" w:cs="Arial"/>
          <w:b/>
          <w:bCs/>
        </w:rPr>
      </w:pPr>
      <w:r w:rsidRPr="00AD3F68">
        <w:rPr>
          <w:rFonts w:ascii="Arial" w:hAnsi="Arial" w:cs="Arial"/>
          <w:b/>
          <w:bCs/>
        </w:rPr>
        <w:t>DEL ESTADO DE HIDALGO</w:t>
      </w:r>
    </w:p>
    <w:p w14:paraId="799DCDA0" w14:textId="77777777" w:rsidR="00AD3F68" w:rsidRPr="00AD3F68" w:rsidRDefault="00AD3F68" w:rsidP="00AD3F68">
      <w:pPr>
        <w:jc w:val="center"/>
        <w:rPr>
          <w:rFonts w:ascii="Arial" w:hAnsi="Arial" w:cs="Arial"/>
          <w:b/>
          <w:bCs/>
        </w:rPr>
      </w:pPr>
    </w:p>
    <w:p w14:paraId="65420AEB" w14:textId="77777777" w:rsidR="00AD3F68" w:rsidRPr="00AD3F68" w:rsidRDefault="00AD3F68" w:rsidP="00AD3F68">
      <w:pPr>
        <w:jc w:val="center"/>
        <w:rPr>
          <w:rFonts w:ascii="Arial" w:hAnsi="Arial" w:cs="Arial"/>
          <w:b/>
          <w:bCs/>
        </w:rPr>
      </w:pPr>
    </w:p>
    <w:p w14:paraId="58D972EE" w14:textId="2373B99F" w:rsidR="00AD3F68" w:rsidRPr="00AD3F68" w:rsidRDefault="00AD3F68" w:rsidP="00AD3F68">
      <w:pPr>
        <w:jc w:val="center"/>
        <w:rPr>
          <w:rFonts w:ascii="Arial" w:hAnsi="Arial" w:cs="Arial"/>
          <w:b/>
          <w:bCs/>
        </w:rPr>
      </w:pPr>
      <w:r w:rsidRPr="00AD3F68">
        <w:rPr>
          <w:rFonts w:ascii="Arial" w:hAnsi="Arial" w:cs="Arial"/>
          <w:b/>
          <w:bCs/>
        </w:rPr>
        <w:t>LIC. JULIO RAMÓN MENCHACA SALAZAR</w:t>
      </w:r>
    </w:p>
    <w:p w14:paraId="2FE1C151" w14:textId="47A5644E" w:rsidR="00AD3F68" w:rsidRPr="00AD3F68" w:rsidRDefault="00AD3F68" w:rsidP="00AD3F68">
      <w:pPr>
        <w:jc w:val="center"/>
        <w:rPr>
          <w:rFonts w:ascii="Arial" w:hAnsi="Arial" w:cs="Arial"/>
          <w:b/>
          <w:bCs/>
        </w:rPr>
      </w:pPr>
      <w:r w:rsidRPr="00AD3F68">
        <w:rPr>
          <w:rFonts w:ascii="Arial" w:hAnsi="Arial" w:cs="Arial"/>
          <w:b/>
          <w:bCs/>
        </w:rPr>
        <w:t>RÚBRICA</w:t>
      </w:r>
    </w:p>
    <w:sectPr w:rsidR="00AD3F68" w:rsidRPr="00AD3F68" w:rsidSect="007816F3">
      <w:headerReference w:type="default" r:id="rId7"/>
      <w:footerReference w:type="default" r:id="rId8"/>
      <w:pgSz w:w="12240" w:h="15840"/>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4AFFC" w14:textId="77777777" w:rsidR="00FE26F3" w:rsidRDefault="00FE26F3" w:rsidP="00DA60F0">
      <w:r>
        <w:separator/>
      </w:r>
    </w:p>
  </w:endnote>
  <w:endnote w:type="continuationSeparator" w:id="0">
    <w:p w14:paraId="3BFB0F6B" w14:textId="77777777" w:rsidR="00FE26F3" w:rsidRDefault="00FE26F3" w:rsidP="00DA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Arial MT">
    <w:altName w:val="Arial"/>
    <w:charset w:val="01"/>
    <w:family w:val="swiss"/>
    <w:pitch w:val="variable"/>
  </w:font>
  <w:font w:name="Montserrat Medium">
    <w:charset w:val="00"/>
    <w:family w:val="auto"/>
    <w:pitch w:val="variable"/>
    <w:sig w:usb0="2000020F" w:usb1="00000003" w:usb2="00000000" w:usb3="00000000" w:csb0="00000197"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809401"/>
      <w:docPartObj>
        <w:docPartGallery w:val="Page Numbers (Bottom of Page)"/>
        <w:docPartUnique/>
      </w:docPartObj>
    </w:sdtPr>
    <w:sdtEndPr>
      <w:rPr>
        <w:rFonts w:ascii="Arial" w:hAnsi="Arial" w:cs="Arial"/>
        <w:sz w:val="16"/>
        <w:szCs w:val="16"/>
      </w:rPr>
    </w:sdtEndPr>
    <w:sdtContent>
      <w:p w14:paraId="4B02FD34" w14:textId="3B99E506" w:rsidR="00AD3F68" w:rsidRPr="00AD3F68" w:rsidRDefault="00AD3F68">
        <w:pPr>
          <w:pStyle w:val="Piedepgina"/>
          <w:jc w:val="right"/>
          <w:rPr>
            <w:rFonts w:ascii="Arial" w:hAnsi="Arial" w:cs="Arial"/>
            <w:sz w:val="16"/>
            <w:szCs w:val="16"/>
          </w:rPr>
        </w:pPr>
        <w:r w:rsidRPr="00AD3F68">
          <w:rPr>
            <w:rFonts w:ascii="Arial" w:hAnsi="Arial" w:cs="Arial"/>
            <w:sz w:val="16"/>
            <w:szCs w:val="16"/>
          </w:rPr>
          <w:fldChar w:fldCharType="begin"/>
        </w:r>
        <w:r w:rsidRPr="00AD3F68">
          <w:rPr>
            <w:rFonts w:ascii="Arial" w:hAnsi="Arial" w:cs="Arial"/>
            <w:sz w:val="16"/>
            <w:szCs w:val="16"/>
          </w:rPr>
          <w:instrText>PAGE   \* MERGEFORMAT</w:instrText>
        </w:r>
        <w:r w:rsidRPr="00AD3F68">
          <w:rPr>
            <w:rFonts w:ascii="Arial" w:hAnsi="Arial" w:cs="Arial"/>
            <w:sz w:val="16"/>
            <w:szCs w:val="16"/>
          </w:rPr>
          <w:fldChar w:fldCharType="separate"/>
        </w:r>
        <w:r w:rsidRPr="00AD3F68">
          <w:rPr>
            <w:rFonts w:ascii="Arial" w:hAnsi="Arial" w:cs="Arial"/>
            <w:sz w:val="16"/>
            <w:szCs w:val="16"/>
            <w:lang w:val="es-ES"/>
          </w:rPr>
          <w:t>2</w:t>
        </w:r>
        <w:r w:rsidRPr="00AD3F68">
          <w:rPr>
            <w:rFonts w:ascii="Arial" w:hAnsi="Arial" w:cs="Arial"/>
            <w:sz w:val="16"/>
            <w:szCs w:val="16"/>
          </w:rPr>
          <w:fldChar w:fldCharType="end"/>
        </w:r>
      </w:p>
    </w:sdtContent>
  </w:sdt>
  <w:p w14:paraId="34B4FC66" w14:textId="77777777" w:rsidR="00187025" w:rsidRPr="003E1E66" w:rsidRDefault="001870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0EEA1" w14:textId="77777777" w:rsidR="00FE26F3" w:rsidRDefault="00FE26F3" w:rsidP="00DA60F0">
      <w:r>
        <w:separator/>
      </w:r>
    </w:p>
  </w:footnote>
  <w:footnote w:type="continuationSeparator" w:id="0">
    <w:p w14:paraId="50FDE976" w14:textId="77777777" w:rsidR="00FE26F3" w:rsidRDefault="00FE26F3" w:rsidP="00DA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6A8D" w14:textId="5542C22E" w:rsidR="00B25A82" w:rsidRPr="000409C4" w:rsidRDefault="00B25A82" w:rsidP="00B25A82">
    <w:pPr>
      <w:pStyle w:val="Encabezado"/>
      <w:tabs>
        <w:tab w:val="left" w:pos="3570"/>
        <w:tab w:val="right" w:pos="9977"/>
      </w:tabs>
      <w:jc w:val="right"/>
      <w:rPr>
        <w:b/>
        <w:bCs/>
        <w:i/>
        <w:color w:val="808080"/>
        <w:sz w:val="18"/>
        <w:szCs w:val="18"/>
      </w:rPr>
    </w:pPr>
    <w:r>
      <w:rPr>
        <w:noProof/>
        <w:lang w:eastAsia="es-MX"/>
      </w:rPr>
      <w:drawing>
        <wp:anchor distT="0" distB="0" distL="114300" distR="114300" simplePos="0" relativeHeight="251659264" behindDoc="1" locked="0" layoutInCell="1" allowOverlap="1" wp14:anchorId="0895E47B" wp14:editId="796B0478">
          <wp:simplePos x="0" y="0"/>
          <wp:positionH relativeFrom="page">
            <wp:align>right</wp:align>
          </wp:positionH>
          <wp:positionV relativeFrom="paragraph">
            <wp:posOffset>-450983</wp:posOffset>
          </wp:positionV>
          <wp:extent cx="7772400" cy="8947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947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color w:val="808080"/>
        <w:sz w:val="18"/>
        <w:szCs w:val="18"/>
      </w:rPr>
      <w:t xml:space="preserve">Ley </w:t>
    </w:r>
    <w:r w:rsidRPr="000409C4">
      <w:rPr>
        <w:b/>
        <w:bCs/>
        <w:i/>
        <w:color w:val="808080"/>
        <w:sz w:val="18"/>
        <w:szCs w:val="18"/>
      </w:rPr>
      <w:t>de Ingresos del Estado Libre y Soberano de Hidalgo para el Ejercicio F</w:t>
    </w:r>
    <w:r>
      <w:rPr>
        <w:b/>
        <w:bCs/>
        <w:i/>
        <w:color w:val="808080"/>
        <w:sz w:val="18"/>
        <w:szCs w:val="18"/>
      </w:rPr>
      <w:t>iscal del Año 2025</w:t>
    </w:r>
    <w:r w:rsidRPr="000409C4">
      <w:rPr>
        <w:b/>
        <w:bCs/>
        <w:i/>
        <w:color w:val="808080"/>
        <w:sz w:val="18"/>
        <w:szCs w:val="18"/>
      </w:rPr>
      <w:t xml:space="preserve">. </w:t>
    </w:r>
  </w:p>
  <w:p w14:paraId="4C559197" w14:textId="77777777" w:rsidR="00B25A82" w:rsidRPr="000409C4" w:rsidRDefault="00B25A82" w:rsidP="00B25A82">
    <w:pPr>
      <w:pStyle w:val="Encabezado"/>
      <w:tabs>
        <w:tab w:val="left" w:pos="3570"/>
        <w:tab w:val="right" w:pos="9977"/>
      </w:tabs>
      <w:jc w:val="right"/>
      <w:rPr>
        <w:b/>
        <w:bCs/>
        <w:i/>
        <w:color w:val="808080"/>
        <w:sz w:val="18"/>
        <w:szCs w:val="18"/>
      </w:rPr>
    </w:pPr>
    <w:r w:rsidRPr="000409C4">
      <w:rPr>
        <w:b/>
        <w:bCs/>
        <w:i/>
        <w:color w:val="808080"/>
        <w:sz w:val="18"/>
        <w:szCs w:val="18"/>
      </w:rPr>
      <w:t>Instituto de Estudios Legislativos.</w:t>
    </w:r>
  </w:p>
  <w:p w14:paraId="132264CC" w14:textId="77777777" w:rsidR="00187025" w:rsidRPr="003E1E66" w:rsidRDefault="00187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hybridMultilevel"/>
    <w:tmpl w:val="9D58DEAC"/>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1" w15:restartNumberingAfterBreak="0">
    <w:nsid w:val="0000000E"/>
    <w:multiLevelType w:val="hybridMultilevel"/>
    <w:tmpl w:val="FCB8E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00000F"/>
    <w:multiLevelType w:val="hybridMultilevel"/>
    <w:tmpl w:val="75C22586"/>
    <w:lvl w:ilvl="0" w:tplc="8650196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973F9A"/>
    <w:multiLevelType w:val="hybridMultilevel"/>
    <w:tmpl w:val="601EFE02"/>
    <w:lvl w:ilvl="0" w:tplc="77881F1E">
      <w:start w:val="1"/>
      <w:numFmt w:val="upperRoman"/>
      <w:lvlText w:val="%1."/>
      <w:lvlJc w:val="left"/>
      <w:pPr>
        <w:ind w:left="1242" w:hanging="360"/>
      </w:pPr>
      <w:rPr>
        <w:rFonts w:hint="default"/>
        <w:b/>
      </w:rPr>
    </w:lvl>
    <w:lvl w:ilvl="1" w:tplc="080A0019" w:tentative="1">
      <w:start w:val="1"/>
      <w:numFmt w:val="lowerLetter"/>
      <w:lvlText w:val="%2."/>
      <w:lvlJc w:val="left"/>
      <w:pPr>
        <w:ind w:left="1962" w:hanging="360"/>
      </w:pPr>
    </w:lvl>
    <w:lvl w:ilvl="2" w:tplc="080A001B" w:tentative="1">
      <w:start w:val="1"/>
      <w:numFmt w:val="lowerRoman"/>
      <w:lvlText w:val="%3."/>
      <w:lvlJc w:val="right"/>
      <w:pPr>
        <w:ind w:left="2682" w:hanging="180"/>
      </w:pPr>
    </w:lvl>
    <w:lvl w:ilvl="3" w:tplc="080A000F" w:tentative="1">
      <w:start w:val="1"/>
      <w:numFmt w:val="decimal"/>
      <w:lvlText w:val="%4."/>
      <w:lvlJc w:val="left"/>
      <w:pPr>
        <w:ind w:left="3402" w:hanging="360"/>
      </w:pPr>
    </w:lvl>
    <w:lvl w:ilvl="4" w:tplc="080A0019" w:tentative="1">
      <w:start w:val="1"/>
      <w:numFmt w:val="lowerLetter"/>
      <w:lvlText w:val="%5."/>
      <w:lvlJc w:val="left"/>
      <w:pPr>
        <w:ind w:left="4122" w:hanging="360"/>
      </w:pPr>
    </w:lvl>
    <w:lvl w:ilvl="5" w:tplc="080A001B" w:tentative="1">
      <w:start w:val="1"/>
      <w:numFmt w:val="lowerRoman"/>
      <w:lvlText w:val="%6."/>
      <w:lvlJc w:val="right"/>
      <w:pPr>
        <w:ind w:left="4842" w:hanging="180"/>
      </w:pPr>
    </w:lvl>
    <w:lvl w:ilvl="6" w:tplc="080A000F" w:tentative="1">
      <w:start w:val="1"/>
      <w:numFmt w:val="decimal"/>
      <w:lvlText w:val="%7."/>
      <w:lvlJc w:val="left"/>
      <w:pPr>
        <w:ind w:left="5562" w:hanging="360"/>
      </w:pPr>
    </w:lvl>
    <w:lvl w:ilvl="7" w:tplc="080A0019" w:tentative="1">
      <w:start w:val="1"/>
      <w:numFmt w:val="lowerLetter"/>
      <w:lvlText w:val="%8."/>
      <w:lvlJc w:val="left"/>
      <w:pPr>
        <w:ind w:left="6282" w:hanging="360"/>
      </w:pPr>
    </w:lvl>
    <w:lvl w:ilvl="8" w:tplc="080A001B" w:tentative="1">
      <w:start w:val="1"/>
      <w:numFmt w:val="lowerRoman"/>
      <w:lvlText w:val="%9."/>
      <w:lvlJc w:val="right"/>
      <w:pPr>
        <w:ind w:left="7002" w:hanging="180"/>
      </w:pPr>
    </w:lvl>
  </w:abstractNum>
  <w:abstractNum w:abstractNumId="4" w15:restartNumberingAfterBreak="0">
    <w:nsid w:val="21E32B45"/>
    <w:multiLevelType w:val="hybridMultilevel"/>
    <w:tmpl w:val="B7A81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D25044"/>
    <w:multiLevelType w:val="hybridMultilevel"/>
    <w:tmpl w:val="2DF46AFC"/>
    <w:lvl w:ilvl="0" w:tplc="77881F1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3372D6"/>
    <w:multiLevelType w:val="hybridMultilevel"/>
    <w:tmpl w:val="8E2E077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36453E4B"/>
    <w:multiLevelType w:val="hybridMultilevel"/>
    <w:tmpl w:val="55565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104C6B"/>
    <w:multiLevelType w:val="hybridMultilevel"/>
    <w:tmpl w:val="6798BCF8"/>
    <w:lvl w:ilvl="0" w:tplc="DD9089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EB7149"/>
    <w:multiLevelType w:val="hybridMultilevel"/>
    <w:tmpl w:val="0C1833BE"/>
    <w:lvl w:ilvl="0" w:tplc="7270B8E8">
      <w:start w:val="1"/>
      <w:numFmt w:val="upperRoman"/>
      <w:lvlText w:val="%1."/>
      <w:lvlJc w:val="right"/>
      <w:pPr>
        <w:ind w:left="1242" w:hanging="360"/>
      </w:pPr>
      <w:rPr>
        <w:b/>
        <w:bCs/>
      </w:rPr>
    </w:lvl>
    <w:lvl w:ilvl="1" w:tplc="080A0019" w:tentative="1">
      <w:start w:val="1"/>
      <w:numFmt w:val="lowerLetter"/>
      <w:lvlText w:val="%2."/>
      <w:lvlJc w:val="left"/>
      <w:pPr>
        <w:ind w:left="1962" w:hanging="360"/>
      </w:pPr>
    </w:lvl>
    <w:lvl w:ilvl="2" w:tplc="080A001B" w:tentative="1">
      <w:start w:val="1"/>
      <w:numFmt w:val="lowerRoman"/>
      <w:lvlText w:val="%3."/>
      <w:lvlJc w:val="right"/>
      <w:pPr>
        <w:ind w:left="2682" w:hanging="180"/>
      </w:pPr>
    </w:lvl>
    <w:lvl w:ilvl="3" w:tplc="080A000F" w:tentative="1">
      <w:start w:val="1"/>
      <w:numFmt w:val="decimal"/>
      <w:lvlText w:val="%4."/>
      <w:lvlJc w:val="left"/>
      <w:pPr>
        <w:ind w:left="3402" w:hanging="360"/>
      </w:pPr>
    </w:lvl>
    <w:lvl w:ilvl="4" w:tplc="080A0019" w:tentative="1">
      <w:start w:val="1"/>
      <w:numFmt w:val="lowerLetter"/>
      <w:lvlText w:val="%5."/>
      <w:lvlJc w:val="left"/>
      <w:pPr>
        <w:ind w:left="4122" w:hanging="360"/>
      </w:pPr>
    </w:lvl>
    <w:lvl w:ilvl="5" w:tplc="080A001B" w:tentative="1">
      <w:start w:val="1"/>
      <w:numFmt w:val="lowerRoman"/>
      <w:lvlText w:val="%6."/>
      <w:lvlJc w:val="right"/>
      <w:pPr>
        <w:ind w:left="4842" w:hanging="180"/>
      </w:pPr>
    </w:lvl>
    <w:lvl w:ilvl="6" w:tplc="080A000F" w:tentative="1">
      <w:start w:val="1"/>
      <w:numFmt w:val="decimal"/>
      <w:lvlText w:val="%7."/>
      <w:lvlJc w:val="left"/>
      <w:pPr>
        <w:ind w:left="5562" w:hanging="360"/>
      </w:pPr>
    </w:lvl>
    <w:lvl w:ilvl="7" w:tplc="080A0019" w:tentative="1">
      <w:start w:val="1"/>
      <w:numFmt w:val="lowerLetter"/>
      <w:lvlText w:val="%8."/>
      <w:lvlJc w:val="left"/>
      <w:pPr>
        <w:ind w:left="6282" w:hanging="360"/>
      </w:pPr>
    </w:lvl>
    <w:lvl w:ilvl="8" w:tplc="080A001B" w:tentative="1">
      <w:start w:val="1"/>
      <w:numFmt w:val="lowerRoman"/>
      <w:lvlText w:val="%9."/>
      <w:lvlJc w:val="right"/>
      <w:pPr>
        <w:ind w:left="7002" w:hanging="180"/>
      </w:pPr>
    </w:lvl>
  </w:abstractNum>
  <w:abstractNum w:abstractNumId="10" w15:restartNumberingAfterBreak="0">
    <w:nsid w:val="4D5A3CF3"/>
    <w:multiLevelType w:val="hybridMultilevel"/>
    <w:tmpl w:val="4D120DD2"/>
    <w:lvl w:ilvl="0" w:tplc="24507E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084C4D"/>
    <w:multiLevelType w:val="hybridMultilevel"/>
    <w:tmpl w:val="D1AE79C6"/>
    <w:lvl w:ilvl="0" w:tplc="D5906CC4">
      <w:start w:val="1"/>
      <w:numFmt w:val="decimal"/>
      <w:lvlText w:val="%1."/>
      <w:lvlJc w:val="left"/>
      <w:pPr>
        <w:ind w:left="1242" w:hanging="360"/>
      </w:pPr>
      <w:rPr>
        <w:rFonts w:ascii="Arial" w:eastAsia="Arial" w:hAnsi="Arial" w:cs="Arial" w:hint="default"/>
        <w:b/>
        <w:bCs/>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3225C6"/>
    <w:multiLevelType w:val="hybridMultilevel"/>
    <w:tmpl w:val="632895AA"/>
    <w:lvl w:ilvl="0" w:tplc="FFDE8EAA">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68235696"/>
    <w:multiLevelType w:val="hybridMultilevel"/>
    <w:tmpl w:val="1084D460"/>
    <w:lvl w:ilvl="0" w:tplc="A74CA998">
      <w:numFmt w:val="bullet"/>
      <w:lvlText w:val=""/>
      <w:lvlJc w:val="left"/>
      <w:pPr>
        <w:ind w:left="1242" w:hanging="360"/>
      </w:pPr>
      <w:rPr>
        <w:rFonts w:ascii="Symbol" w:eastAsia="Symbol" w:hAnsi="Symbol" w:cs="Symbol" w:hint="default"/>
        <w:w w:val="100"/>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A9D4EE9"/>
    <w:multiLevelType w:val="hybridMultilevel"/>
    <w:tmpl w:val="BD4228EA"/>
    <w:lvl w:ilvl="0" w:tplc="EE84FEB2">
      <w:start w:val="1"/>
      <w:numFmt w:val="upperRoman"/>
      <w:lvlText w:val="%1."/>
      <w:lvlJc w:val="right"/>
      <w:pPr>
        <w:ind w:left="1080" w:hanging="360"/>
      </w:pPr>
    </w:lvl>
    <w:lvl w:ilvl="1" w:tplc="B80E6A74">
      <w:start w:val="1"/>
      <w:numFmt w:val="lowerLetter"/>
      <w:lvlText w:val="%2."/>
      <w:lvlJc w:val="left"/>
      <w:pPr>
        <w:ind w:left="1800" w:hanging="360"/>
      </w:pPr>
    </w:lvl>
    <w:lvl w:ilvl="2" w:tplc="7026D9EC">
      <w:start w:val="1"/>
      <w:numFmt w:val="lowerRoman"/>
      <w:lvlText w:val="%3."/>
      <w:lvlJc w:val="right"/>
      <w:pPr>
        <w:ind w:left="2520" w:hanging="180"/>
      </w:pPr>
    </w:lvl>
    <w:lvl w:ilvl="3" w:tplc="EBE0AD14">
      <w:start w:val="1"/>
      <w:numFmt w:val="decimal"/>
      <w:lvlText w:val="%4."/>
      <w:lvlJc w:val="left"/>
      <w:pPr>
        <w:ind w:left="3240" w:hanging="360"/>
      </w:pPr>
    </w:lvl>
    <w:lvl w:ilvl="4" w:tplc="4ED8101E">
      <w:start w:val="1"/>
      <w:numFmt w:val="lowerLetter"/>
      <w:lvlText w:val="%5."/>
      <w:lvlJc w:val="left"/>
      <w:pPr>
        <w:ind w:left="3960" w:hanging="360"/>
      </w:pPr>
    </w:lvl>
    <w:lvl w:ilvl="5" w:tplc="8EE2EDDC">
      <w:start w:val="1"/>
      <w:numFmt w:val="lowerRoman"/>
      <w:lvlText w:val="%6."/>
      <w:lvlJc w:val="right"/>
      <w:pPr>
        <w:ind w:left="4680" w:hanging="180"/>
      </w:pPr>
    </w:lvl>
    <w:lvl w:ilvl="6" w:tplc="B6C667F0">
      <w:start w:val="1"/>
      <w:numFmt w:val="decimal"/>
      <w:lvlText w:val="%7."/>
      <w:lvlJc w:val="left"/>
      <w:pPr>
        <w:ind w:left="5400" w:hanging="360"/>
      </w:pPr>
    </w:lvl>
    <w:lvl w:ilvl="7" w:tplc="EFA2E27E">
      <w:start w:val="1"/>
      <w:numFmt w:val="lowerLetter"/>
      <w:lvlText w:val="%8."/>
      <w:lvlJc w:val="left"/>
      <w:pPr>
        <w:ind w:left="6120" w:hanging="360"/>
      </w:pPr>
    </w:lvl>
    <w:lvl w:ilvl="8" w:tplc="96A80F4E">
      <w:start w:val="1"/>
      <w:numFmt w:val="lowerRoman"/>
      <w:lvlText w:val="%9."/>
      <w:lvlJc w:val="right"/>
      <w:pPr>
        <w:ind w:left="6840" w:hanging="180"/>
      </w:pPr>
    </w:lvl>
  </w:abstractNum>
  <w:abstractNum w:abstractNumId="15" w15:restartNumberingAfterBreak="0">
    <w:nsid w:val="6C8A47A9"/>
    <w:multiLevelType w:val="hybridMultilevel"/>
    <w:tmpl w:val="A072C9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817457">
    <w:abstractNumId w:val="8"/>
  </w:num>
  <w:num w:numId="2" w16cid:durableId="1756241294">
    <w:abstractNumId w:val="10"/>
  </w:num>
  <w:num w:numId="3" w16cid:durableId="526800439">
    <w:abstractNumId w:val="7"/>
  </w:num>
  <w:num w:numId="4" w16cid:durableId="1131946856">
    <w:abstractNumId w:val="1"/>
  </w:num>
  <w:num w:numId="5" w16cid:durableId="1878159235">
    <w:abstractNumId w:val="0"/>
  </w:num>
  <w:num w:numId="6" w16cid:durableId="1291934072">
    <w:abstractNumId w:val="4"/>
  </w:num>
  <w:num w:numId="7" w16cid:durableId="2032758163">
    <w:abstractNumId w:val="2"/>
  </w:num>
  <w:num w:numId="8" w16cid:durableId="620917048">
    <w:abstractNumId w:val="6"/>
  </w:num>
  <w:num w:numId="9" w16cid:durableId="1218471932">
    <w:abstractNumId w:val="15"/>
  </w:num>
  <w:num w:numId="10" w16cid:durableId="838271467">
    <w:abstractNumId w:val="12"/>
  </w:num>
  <w:num w:numId="11" w16cid:durableId="1198084487">
    <w:abstractNumId w:val="11"/>
  </w:num>
  <w:num w:numId="12" w16cid:durableId="579412835">
    <w:abstractNumId w:val="13"/>
  </w:num>
  <w:num w:numId="13" w16cid:durableId="452940731">
    <w:abstractNumId w:val="14"/>
  </w:num>
  <w:num w:numId="14" w16cid:durableId="1153252482">
    <w:abstractNumId w:val="5"/>
  </w:num>
  <w:num w:numId="15" w16cid:durableId="107047949">
    <w:abstractNumId w:val="9"/>
  </w:num>
  <w:num w:numId="16" w16cid:durableId="942614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F0"/>
    <w:rsid w:val="000024B3"/>
    <w:rsid w:val="000306EC"/>
    <w:rsid w:val="000606F6"/>
    <w:rsid w:val="00094315"/>
    <w:rsid w:val="00096FA5"/>
    <w:rsid w:val="0017345E"/>
    <w:rsid w:val="00187025"/>
    <w:rsid w:val="001D1F99"/>
    <w:rsid w:val="001E5B18"/>
    <w:rsid w:val="002174CD"/>
    <w:rsid w:val="0023075A"/>
    <w:rsid w:val="00232CEF"/>
    <w:rsid w:val="00254A39"/>
    <w:rsid w:val="002A6237"/>
    <w:rsid w:val="002E589E"/>
    <w:rsid w:val="00317AA9"/>
    <w:rsid w:val="00321791"/>
    <w:rsid w:val="00347B77"/>
    <w:rsid w:val="00364D5E"/>
    <w:rsid w:val="0037208D"/>
    <w:rsid w:val="003873EA"/>
    <w:rsid w:val="003A360B"/>
    <w:rsid w:val="003B0D81"/>
    <w:rsid w:val="003F1C57"/>
    <w:rsid w:val="004101EC"/>
    <w:rsid w:val="004215F5"/>
    <w:rsid w:val="004458F9"/>
    <w:rsid w:val="004544A5"/>
    <w:rsid w:val="00464ED4"/>
    <w:rsid w:val="004B5482"/>
    <w:rsid w:val="004D1DED"/>
    <w:rsid w:val="00500FE2"/>
    <w:rsid w:val="005135C0"/>
    <w:rsid w:val="00567708"/>
    <w:rsid w:val="005A7E88"/>
    <w:rsid w:val="005B62A3"/>
    <w:rsid w:val="005E1205"/>
    <w:rsid w:val="005E3396"/>
    <w:rsid w:val="005E7127"/>
    <w:rsid w:val="005F1450"/>
    <w:rsid w:val="006556E9"/>
    <w:rsid w:val="00666E37"/>
    <w:rsid w:val="006862CA"/>
    <w:rsid w:val="00701D9B"/>
    <w:rsid w:val="007053A9"/>
    <w:rsid w:val="00710DAB"/>
    <w:rsid w:val="007122BD"/>
    <w:rsid w:val="00766B6F"/>
    <w:rsid w:val="00776AC9"/>
    <w:rsid w:val="00780D0F"/>
    <w:rsid w:val="007816F3"/>
    <w:rsid w:val="007962FC"/>
    <w:rsid w:val="007B3416"/>
    <w:rsid w:val="007B7A4B"/>
    <w:rsid w:val="007C636D"/>
    <w:rsid w:val="007E2C19"/>
    <w:rsid w:val="007F46D9"/>
    <w:rsid w:val="00837195"/>
    <w:rsid w:val="0084069B"/>
    <w:rsid w:val="008664AE"/>
    <w:rsid w:val="00873853"/>
    <w:rsid w:val="0087590F"/>
    <w:rsid w:val="00875FDA"/>
    <w:rsid w:val="008817A5"/>
    <w:rsid w:val="009057D1"/>
    <w:rsid w:val="00970201"/>
    <w:rsid w:val="009765C9"/>
    <w:rsid w:val="00994D4C"/>
    <w:rsid w:val="009D5321"/>
    <w:rsid w:val="00A16FEE"/>
    <w:rsid w:val="00A2775F"/>
    <w:rsid w:val="00A348B2"/>
    <w:rsid w:val="00A34F46"/>
    <w:rsid w:val="00A563FA"/>
    <w:rsid w:val="00A62BE4"/>
    <w:rsid w:val="00A95DBE"/>
    <w:rsid w:val="00AA3A1B"/>
    <w:rsid w:val="00AB03C4"/>
    <w:rsid w:val="00AC419A"/>
    <w:rsid w:val="00AD3F68"/>
    <w:rsid w:val="00B25A82"/>
    <w:rsid w:val="00B32FC9"/>
    <w:rsid w:val="00B344F0"/>
    <w:rsid w:val="00B60E7B"/>
    <w:rsid w:val="00BA2B0F"/>
    <w:rsid w:val="00BA4950"/>
    <w:rsid w:val="00C01879"/>
    <w:rsid w:val="00C2463E"/>
    <w:rsid w:val="00CD54C4"/>
    <w:rsid w:val="00CD5A0E"/>
    <w:rsid w:val="00D01595"/>
    <w:rsid w:val="00D80876"/>
    <w:rsid w:val="00D9324F"/>
    <w:rsid w:val="00DA60F0"/>
    <w:rsid w:val="00DD55F4"/>
    <w:rsid w:val="00E05785"/>
    <w:rsid w:val="00E14374"/>
    <w:rsid w:val="00E227FF"/>
    <w:rsid w:val="00E30C06"/>
    <w:rsid w:val="00E5212C"/>
    <w:rsid w:val="00EB3E75"/>
    <w:rsid w:val="00EE6EEB"/>
    <w:rsid w:val="00EF377A"/>
    <w:rsid w:val="00F13B1B"/>
    <w:rsid w:val="00F37821"/>
    <w:rsid w:val="00F535C2"/>
    <w:rsid w:val="00F72BED"/>
    <w:rsid w:val="00F77DE0"/>
    <w:rsid w:val="00F84ACC"/>
    <w:rsid w:val="00FC291F"/>
    <w:rsid w:val="00FE26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C408"/>
  <w15:chartTrackingRefBased/>
  <w15:docId w15:val="{15693C36-AC26-4C59-A919-B517026D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F0"/>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DA60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60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60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60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60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60F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60F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60F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60F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60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60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60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60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60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60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60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60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60F0"/>
    <w:rPr>
      <w:rFonts w:eastAsiaTheme="majorEastAsia" w:cstheme="majorBidi"/>
      <w:color w:val="272727" w:themeColor="text1" w:themeTint="D8"/>
    </w:rPr>
  </w:style>
  <w:style w:type="paragraph" w:styleId="Ttulo">
    <w:name w:val="Title"/>
    <w:basedOn w:val="Normal"/>
    <w:next w:val="Normal"/>
    <w:link w:val="TtuloCar"/>
    <w:uiPriority w:val="10"/>
    <w:qFormat/>
    <w:rsid w:val="00DA60F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60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60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60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60F0"/>
    <w:pPr>
      <w:spacing w:before="160"/>
      <w:jc w:val="center"/>
    </w:pPr>
    <w:rPr>
      <w:i/>
      <w:iCs/>
      <w:color w:val="404040" w:themeColor="text1" w:themeTint="BF"/>
    </w:rPr>
  </w:style>
  <w:style w:type="character" w:customStyle="1" w:styleId="CitaCar">
    <w:name w:val="Cita Car"/>
    <w:basedOn w:val="Fuentedeprrafopredeter"/>
    <w:link w:val="Cita"/>
    <w:uiPriority w:val="29"/>
    <w:rsid w:val="00DA60F0"/>
    <w:rPr>
      <w:i/>
      <w:iCs/>
      <w:color w:val="404040" w:themeColor="text1" w:themeTint="BF"/>
    </w:rPr>
  </w:style>
  <w:style w:type="paragraph" w:styleId="Prrafodelista">
    <w:name w:val="List Paragraph"/>
    <w:aliases w:val="lp1,List Paragraph1"/>
    <w:basedOn w:val="Normal"/>
    <w:link w:val="PrrafodelistaCar"/>
    <w:uiPriority w:val="1"/>
    <w:qFormat/>
    <w:rsid w:val="00DA60F0"/>
    <w:pPr>
      <w:ind w:left="720"/>
      <w:contextualSpacing/>
    </w:pPr>
  </w:style>
  <w:style w:type="character" w:styleId="nfasisintenso">
    <w:name w:val="Intense Emphasis"/>
    <w:basedOn w:val="Fuentedeprrafopredeter"/>
    <w:uiPriority w:val="21"/>
    <w:qFormat/>
    <w:rsid w:val="00DA60F0"/>
    <w:rPr>
      <w:i/>
      <w:iCs/>
      <w:color w:val="0F4761" w:themeColor="accent1" w:themeShade="BF"/>
    </w:rPr>
  </w:style>
  <w:style w:type="paragraph" w:styleId="Citadestacada">
    <w:name w:val="Intense Quote"/>
    <w:basedOn w:val="Normal"/>
    <w:next w:val="Normal"/>
    <w:link w:val="CitadestacadaCar"/>
    <w:uiPriority w:val="30"/>
    <w:qFormat/>
    <w:rsid w:val="00DA6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60F0"/>
    <w:rPr>
      <w:i/>
      <w:iCs/>
      <w:color w:val="0F4761" w:themeColor="accent1" w:themeShade="BF"/>
    </w:rPr>
  </w:style>
  <w:style w:type="character" w:styleId="Referenciaintensa">
    <w:name w:val="Intense Reference"/>
    <w:basedOn w:val="Fuentedeprrafopredeter"/>
    <w:uiPriority w:val="32"/>
    <w:qFormat/>
    <w:rsid w:val="00DA60F0"/>
    <w:rPr>
      <w:b/>
      <w:bCs/>
      <w:smallCaps/>
      <w:color w:val="0F4761" w:themeColor="accent1" w:themeShade="BF"/>
      <w:spacing w:val="5"/>
    </w:rPr>
  </w:style>
  <w:style w:type="paragraph" w:styleId="Piedepgina">
    <w:name w:val="footer"/>
    <w:aliases w:val=" Car,Car"/>
    <w:basedOn w:val="Normal"/>
    <w:link w:val="PiedepginaCar"/>
    <w:uiPriority w:val="99"/>
    <w:unhideWhenUsed/>
    <w:rsid w:val="00DA60F0"/>
    <w:pPr>
      <w:tabs>
        <w:tab w:val="center" w:pos="4419"/>
        <w:tab w:val="right" w:pos="8838"/>
      </w:tabs>
    </w:pPr>
  </w:style>
  <w:style w:type="character" w:customStyle="1" w:styleId="PiedepginaCar">
    <w:name w:val="Pie de página Car"/>
    <w:aliases w:val=" Car Car,Car Car"/>
    <w:basedOn w:val="Fuentedeprrafopredeter"/>
    <w:link w:val="Piedepgina"/>
    <w:uiPriority w:val="99"/>
    <w:rsid w:val="00DA60F0"/>
    <w:rPr>
      <w:rFonts w:ascii="Times New Roman" w:eastAsia="Times New Roman" w:hAnsi="Times New Roman" w:cs="Times New Roman"/>
      <w:kern w:val="0"/>
      <w:sz w:val="20"/>
      <w:szCs w:val="20"/>
      <w:lang w:eastAsia="es-ES"/>
      <w14:ligatures w14:val="none"/>
    </w:rPr>
  </w:style>
  <w:style w:type="paragraph" w:styleId="Encabezado">
    <w:name w:val="header"/>
    <w:basedOn w:val="Normal"/>
    <w:link w:val="EncabezadoCar"/>
    <w:uiPriority w:val="99"/>
    <w:unhideWhenUsed/>
    <w:rsid w:val="00DA60F0"/>
    <w:pPr>
      <w:tabs>
        <w:tab w:val="center" w:pos="4419"/>
        <w:tab w:val="right" w:pos="8838"/>
      </w:tabs>
    </w:pPr>
  </w:style>
  <w:style w:type="character" w:customStyle="1" w:styleId="EncabezadoCar">
    <w:name w:val="Encabezado Car"/>
    <w:basedOn w:val="Fuentedeprrafopredeter"/>
    <w:link w:val="Encabezado"/>
    <w:uiPriority w:val="99"/>
    <w:rsid w:val="00DA60F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
    <w:link w:val="Prrafodelista"/>
    <w:uiPriority w:val="34"/>
    <w:rsid w:val="00DA60F0"/>
  </w:style>
  <w:style w:type="paragraph" w:styleId="Textoindependiente">
    <w:name w:val="Body Text"/>
    <w:basedOn w:val="Normal"/>
    <w:link w:val="TextoindependienteCar"/>
    <w:uiPriority w:val="99"/>
    <w:semiHidden/>
    <w:unhideWhenUsed/>
    <w:rsid w:val="00DA60F0"/>
    <w:pPr>
      <w:spacing w:after="120"/>
    </w:pPr>
  </w:style>
  <w:style w:type="character" w:customStyle="1" w:styleId="TextoindependienteCar">
    <w:name w:val="Texto independiente Car"/>
    <w:basedOn w:val="Fuentedeprrafopredeter"/>
    <w:link w:val="Textoindependiente"/>
    <w:uiPriority w:val="99"/>
    <w:semiHidden/>
    <w:rsid w:val="00DA60F0"/>
    <w:rPr>
      <w:rFonts w:ascii="Times New Roman" w:eastAsia="Times New Roman" w:hAnsi="Times New Roman" w:cs="Times New Roman"/>
      <w:kern w:val="0"/>
      <w:sz w:val="20"/>
      <w:szCs w:val="20"/>
      <w:lang w:eastAsia="es-ES"/>
      <w14:ligatures w14:val="none"/>
    </w:rPr>
  </w:style>
  <w:style w:type="paragraph" w:styleId="Textonotapie">
    <w:name w:val="footnote text"/>
    <w:basedOn w:val="Normal"/>
    <w:link w:val="TextonotapieCar"/>
    <w:uiPriority w:val="99"/>
    <w:semiHidden/>
    <w:unhideWhenUsed/>
    <w:rsid w:val="00710DAB"/>
    <w:pPr>
      <w:widowControl w:val="0"/>
      <w:autoSpaceDE w:val="0"/>
      <w:autoSpaceDN w:val="0"/>
    </w:pPr>
    <w:rPr>
      <w:rFonts w:ascii="Arial MT" w:eastAsia="Arial MT" w:hAnsi="Arial MT" w:cs="Arial MT"/>
      <w:lang w:val="es-ES" w:eastAsia="en-US"/>
    </w:rPr>
  </w:style>
  <w:style w:type="character" w:customStyle="1" w:styleId="TextonotapieCar">
    <w:name w:val="Texto nota pie Car"/>
    <w:basedOn w:val="Fuentedeprrafopredeter"/>
    <w:link w:val="Textonotapie"/>
    <w:uiPriority w:val="99"/>
    <w:semiHidden/>
    <w:rsid w:val="00710DAB"/>
    <w:rPr>
      <w:rFonts w:ascii="Arial MT" w:eastAsia="Arial MT" w:hAnsi="Arial MT" w:cs="Arial MT"/>
      <w:kern w:val="0"/>
      <w:sz w:val="20"/>
      <w:szCs w:val="20"/>
      <w:lang w:val="es-ES"/>
      <w14:ligatures w14:val="none"/>
    </w:rPr>
  </w:style>
  <w:style w:type="character" w:styleId="Refdenotaalpie">
    <w:name w:val="footnote reference"/>
    <w:basedOn w:val="Fuentedeprrafopredeter"/>
    <w:uiPriority w:val="99"/>
    <w:semiHidden/>
    <w:unhideWhenUsed/>
    <w:rsid w:val="00710DAB"/>
    <w:rPr>
      <w:vertAlign w:val="superscript"/>
    </w:rPr>
  </w:style>
  <w:style w:type="character" w:styleId="Hipervnculo">
    <w:name w:val="Hyperlink"/>
    <w:basedOn w:val="Fuentedeprrafopredeter"/>
    <w:uiPriority w:val="99"/>
    <w:unhideWhenUsed/>
    <w:rsid w:val="00710DA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11294</Words>
  <Characters>62121</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Hernández</dc:creator>
  <cp:keywords/>
  <dc:description/>
  <cp:lastModifiedBy>ROCÌO SÁNCHEZ GÓMEZ</cp:lastModifiedBy>
  <cp:revision>3</cp:revision>
  <cp:lastPrinted>2024-11-07T17:59:00Z</cp:lastPrinted>
  <dcterms:created xsi:type="dcterms:W3CDTF">2025-01-10T21:20:00Z</dcterms:created>
  <dcterms:modified xsi:type="dcterms:W3CDTF">2025-01-20T20:56:00Z</dcterms:modified>
</cp:coreProperties>
</file>